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color w:val="000000"/>
          <w:sz w:val="32"/>
          <w:szCs w:val="32"/>
          <w:highlight w:val="none"/>
          <w:shd w:val="clear" w:color="auto" w:fill="auto"/>
          <w:lang w:val="en-US" w:eastAsia="zh-CN"/>
        </w:rPr>
      </w:pPr>
      <w:r>
        <w:rPr>
          <w:rFonts w:hint="eastAsia" w:ascii="黑体" w:hAnsi="黑体" w:eastAsia="黑体" w:cs="黑体"/>
          <w:color w:val="000000"/>
          <w:sz w:val="32"/>
          <w:szCs w:val="32"/>
          <w:highlight w:val="none"/>
          <w:shd w:val="clear" w:color="auto" w:fill="auto"/>
          <w:lang w:eastAsia="zh-CN"/>
        </w:rPr>
        <w:t>附件</w:t>
      </w:r>
      <w:r>
        <w:rPr>
          <w:rFonts w:hint="eastAsia" w:ascii="Times New Roman" w:hAnsi="Times New Roman" w:eastAsia="黑体" w:cs="黑体"/>
          <w:snapToGrid/>
          <w:color w:val="000000"/>
          <w:sz w:val="32"/>
          <w:szCs w:val="32"/>
          <w:highlight w:val="none"/>
          <w:shd w:val="clear" w:color="auto" w:fill="auto"/>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color w:val="00000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shd w:val="clear" w:color="auto" w:fill="auto"/>
          <w:lang w:eastAsia="zh-CN"/>
        </w:rPr>
      </w:pPr>
      <w:bookmarkStart w:id="0" w:name="_GoBack"/>
      <w:r>
        <w:rPr>
          <w:rFonts w:hint="eastAsia" w:ascii="方正小标宋简体" w:hAnsi="方正小标宋简体" w:eastAsia="方正小标宋简体" w:cs="方正小标宋简体"/>
          <w:color w:val="000000"/>
          <w:sz w:val="44"/>
          <w:szCs w:val="44"/>
          <w:highlight w:val="none"/>
          <w:shd w:val="clear" w:color="auto" w:fill="auto"/>
          <w:lang w:eastAsia="zh-CN"/>
        </w:rPr>
        <w:t>设施农业用地协议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楷体" w:hAnsi="楷体" w:eastAsia="楷体" w:cs="楷体"/>
          <w:b/>
          <w:bCs/>
          <w:color w:val="000000"/>
          <w:sz w:val="32"/>
          <w:szCs w:val="32"/>
          <w:highlight w:val="none"/>
          <w:shd w:val="clear" w:color="auto" w:fill="auto"/>
          <w:lang w:eastAsia="zh-CN"/>
        </w:rPr>
      </w:pPr>
      <w:r>
        <w:rPr>
          <w:rFonts w:hint="eastAsia" w:ascii="楷体" w:hAnsi="楷体" w:eastAsia="楷体" w:cs="楷体"/>
          <w:b/>
          <w:bCs/>
          <w:color w:val="000000"/>
          <w:sz w:val="32"/>
          <w:szCs w:val="32"/>
          <w:highlight w:val="none"/>
          <w:shd w:val="clear" w:color="auto" w:fill="auto"/>
          <w:lang w:eastAsia="zh-CN"/>
        </w:rPr>
        <w:t>（参考样式）</w:t>
      </w:r>
    </w:p>
    <w:bookmarkEnd w:id="0"/>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甲方（经营者）：</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法定代表人或委托代理人：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地址：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联系电话：</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乙方（农村集体经济组织或国有农（林）场）：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法定代表人：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地址：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联系电话：</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按照《自然资源部、农业农村部关于设施农业用地管理有关问题的通知》（自然资规〔</w:t>
      </w:r>
      <w:r>
        <w:rPr>
          <w:rFonts w:hint="default" w:ascii="Times New Roman" w:hAnsi="Times New Roman" w:eastAsia="仿宋_GB2312" w:cs="仿宋_GB2312"/>
          <w:snapToGrid/>
          <w:color w:val="auto"/>
          <w:sz w:val="32"/>
          <w:szCs w:val="32"/>
          <w:highlight w:val="none"/>
          <w:shd w:val="clear" w:color="auto" w:fill="auto"/>
          <w:lang w:eastAsia="zh-CN"/>
        </w:rPr>
        <w:t>2019</w:t>
      </w:r>
      <w:r>
        <w:rPr>
          <w:rFonts w:hint="eastAsia" w:ascii="仿宋_GB2312" w:hAnsi="仿宋_GB2312" w:eastAsia="仿宋_GB2312" w:cs="仿宋_GB2312"/>
          <w:color w:val="auto"/>
          <w:sz w:val="32"/>
          <w:szCs w:val="32"/>
          <w:highlight w:val="none"/>
          <w:shd w:val="clear" w:color="auto" w:fill="auto"/>
          <w:lang w:eastAsia="zh-CN"/>
        </w:rPr>
        <w:t>〕</w:t>
      </w:r>
      <w:r>
        <w:rPr>
          <w:rFonts w:hint="default" w:ascii="Times New Roman" w:hAnsi="Times New Roman" w:eastAsia="仿宋_GB2312" w:cs="仿宋_GB2312"/>
          <w:snapToGrid/>
          <w:color w:val="auto"/>
          <w:sz w:val="32"/>
          <w:szCs w:val="32"/>
          <w:highlight w:val="none"/>
          <w:shd w:val="clear" w:color="auto" w:fill="auto"/>
          <w:lang w:eastAsia="zh-CN"/>
        </w:rPr>
        <w:t>4</w:t>
      </w:r>
      <w:r>
        <w:rPr>
          <w:rFonts w:hint="default" w:ascii="仿宋_GB2312" w:hAnsi="仿宋_GB2312" w:eastAsia="仿宋_GB2312" w:cs="仿宋_GB2312"/>
          <w:color w:val="auto"/>
          <w:sz w:val="32"/>
          <w:szCs w:val="32"/>
          <w:highlight w:val="none"/>
          <w:shd w:val="clear" w:color="auto" w:fill="auto"/>
          <w:lang w:eastAsia="zh-CN"/>
        </w:rPr>
        <w:t xml:space="preserve"> </w:t>
      </w:r>
      <w:r>
        <w:rPr>
          <w:rFonts w:hint="eastAsia" w:ascii="仿宋_GB2312" w:hAnsi="仿宋_GB2312" w:eastAsia="仿宋_GB2312" w:cs="仿宋_GB2312"/>
          <w:color w:val="auto"/>
          <w:sz w:val="32"/>
          <w:szCs w:val="32"/>
          <w:highlight w:val="none"/>
          <w:shd w:val="clear" w:color="auto" w:fill="auto"/>
          <w:lang w:eastAsia="zh-CN"/>
        </w:rPr>
        <w:t>号）、《广西壮族自治区自然资源厅</w:t>
      </w:r>
      <w:r>
        <w:rPr>
          <w:rFonts w:hint="eastAsia" w:ascii="仿宋_GB2312" w:hAnsi="仿宋_GB2312" w:eastAsia="仿宋_GB2312" w:cs="仿宋_GB2312"/>
          <w:color w:val="auto"/>
          <w:sz w:val="32"/>
          <w:szCs w:val="32"/>
          <w:highlight w:val="none"/>
          <w:shd w:val="clear" w:color="auto" w:fill="auto"/>
          <w:lang w:val="en-US" w:eastAsia="zh-CN"/>
        </w:rPr>
        <w:t xml:space="preserve">  广西壮族自治区农业农村厅关于进一步加强和规范我区设施农业用地管理的通知》（桂自然资规〔</w:t>
      </w:r>
      <w:r>
        <w:rPr>
          <w:rFonts w:hint="default" w:ascii="Times New Roman" w:hAnsi="Times New Roman" w:eastAsia="仿宋_GB2312" w:cs="仿宋_GB2312"/>
          <w:snapToGrid/>
          <w:color w:val="auto"/>
          <w:sz w:val="32"/>
          <w:szCs w:val="32"/>
          <w:highlight w:val="none"/>
          <w:shd w:val="clear" w:color="auto" w:fill="auto"/>
          <w:lang w:val="en-US" w:eastAsia="zh-CN"/>
        </w:rPr>
        <w:t>20</w:t>
      </w:r>
      <w:r>
        <w:rPr>
          <w:rFonts w:hint="eastAsia" w:ascii="Times New Roman" w:hAnsi="Times New Roman" w:eastAsia="仿宋_GB2312" w:cs="仿宋_GB2312"/>
          <w:snapToGrid/>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Times New Roman" w:hAnsi="Times New Roman" w:eastAsia="仿宋_GB2312" w:cs="仿宋_GB2312"/>
          <w:snapToGrid/>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lang w:val="en-US" w:eastAsia="zh-CN"/>
        </w:rPr>
        <w:t>号）、《贺州市自然资源局贺州市农业农村局关于印发贺州市设施农业用地实施管理细则（试行）的通知》（贺自然资规〔</w:t>
      </w:r>
      <w:r>
        <w:rPr>
          <w:rFonts w:hint="default" w:ascii="Times New Roman" w:hAnsi="Times New Roman" w:eastAsia="仿宋_GB2312" w:cs="仿宋_GB2312"/>
          <w:snapToGrid/>
          <w:color w:val="auto"/>
          <w:sz w:val="32"/>
          <w:szCs w:val="32"/>
          <w:highlight w:val="none"/>
          <w:shd w:val="clear" w:color="auto" w:fill="auto"/>
          <w:lang w:val="en-US" w:eastAsia="zh-CN"/>
        </w:rPr>
        <w:t>20</w:t>
      </w:r>
      <w:r>
        <w:rPr>
          <w:rFonts w:hint="eastAsia" w:ascii="Times New Roman" w:hAnsi="Times New Roman" w:eastAsia="仿宋_GB2312" w:cs="仿宋_GB2312"/>
          <w:snapToGrid/>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Times New Roman" w:hAnsi="Times New Roman" w:eastAsia="仿宋_GB2312" w:cs="仿宋_GB2312"/>
          <w:snapToGrid/>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val="en-US" w:eastAsia="zh-CN"/>
        </w:rPr>
        <w:t>号）及设施农业用地管理等有关规定，甲、乙双</w:t>
      </w:r>
      <w:r>
        <w:rPr>
          <w:rFonts w:hint="eastAsia" w:ascii="仿宋_GB2312" w:hAnsi="仿宋_GB2312" w:eastAsia="仿宋_GB2312" w:cs="仿宋_GB2312"/>
          <w:color w:val="auto"/>
          <w:sz w:val="32"/>
          <w:szCs w:val="32"/>
          <w:highlight w:val="none"/>
          <w:shd w:val="clear" w:color="auto" w:fill="auto"/>
          <w:lang w:eastAsia="zh-CN"/>
        </w:rPr>
        <w:t>方按照</w:t>
      </w:r>
      <w:r>
        <w:rPr>
          <w:rFonts w:hint="default"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eastAsia="zh-CN"/>
        </w:rPr>
        <w:t>平等、自愿、公开、公正</w:t>
      </w:r>
      <w:r>
        <w:rPr>
          <w:rFonts w:hint="default"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eastAsia="zh-CN"/>
        </w:rPr>
        <w:t>的原则，经协商一致，签订本协定：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一、项目名称：</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二、设施农业用地位置、面积：甲方经营</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项目，经乙方同意，使用其经依法确定的土地所有权范围内位于</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的农村集体土地</w:t>
      </w:r>
      <w:r>
        <w:rPr>
          <w:rFonts w:hint="eastAsia" w:ascii="Arial" w:hAnsi="Arial" w:eastAsia="仿宋_GB2312" w:cs="Arial"/>
          <w:color w:val="000000"/>
          <w:sz w:val="32"/>
          <w:szCs w:val="32"/>
          <w:highlight w:val="none"/>
          <w:shd w:val="clear" w:color="auto" w:fill="auto"/>
          <w:lang w:eastAsia="zh-CN"/>
        </w:rPr>
        <w:t>×××</w:t>
      </w:r>
      <w:r>
        <w:rPr>
          <w:rFonts w:hint="eastAsia" w:ascii="Arial" w:hAnsi="Arial" w:eastAsia="仿宋_GB2312" w:cs="Arial"/>
          <w:color w:val="000000"/>
          <w:sz w:val="32"/>
          <w:szCs w:val="32"/>
          <w:highlight w:val="none"/>
          <w:u w:val="none"/>
          <w:shd w:val="clear" w:color="auto" w:fill="auto"/>
          <w:lang w:val="en-US" w:eastAsia="zh-CN"/>
        </w:rPr>
        <w:t>亩</w:t>
      </w:r>
      <w:r>
        <w:rPr>
          <w:rFonts w:hint="eastAsia" w:ascii="仿宋_GB2312" w:hAnsi="仿宋_GB2312" w:eastAsia="仿宋_GB2312" w:cs="仿宋_GB2312"/>
          <w:color w:val="000000"/>
          <w:sz w:val="32"/>
          <w:szCs w:val="32"/>
          <w:highlight w:val="none"/>
          <w:shd w:val="clear" w:color="auto" w:fill="auto"/>
          <w:lang w:eastAsia="zh-CN"/>
        </w:rPr>
        <w:t>，其中：生产设施用地</w:t>
      </w:r>
      <w:r>
        <w:rPr>
          <w:rFonts w:hint="eastAsia" w:ascii="Arial" w:hAnsi="Arial" w:eastAsia="仿宋_GB2312" w:cs="Arial"/>
          <w:color w:val="000000"/>
          <w:sz w:val="32"/>
          <w:szCs w:val="32"/>
          <w:highlight w:val="none"/>
          <w:shd w:val="clear" w:color="auto" w:fill="auto"/>
          <w:lang w:eastAsia="zh-CN"/>
        </w:rPr>
        <w:t>×××</w:t>
      </w:r>
      <w:r>
        <w:rPr>
          <w:rFonts w:hint="eastAsia" w:ascii="Arial" w:hAnsi="Arial" w:eastAsia="仿宋_GB2312" w:cs="Arial"/>
          <w:color w:val="000000"/>
          <w:sz w:val="32"/>
          <w:szCs w:val="32"/>
          <w:highlight w:val="none"/>
          <w:u w:val="none"/>
          <w:shd w:val="clear" w:color="auto" w:fill="auto"/>
          <w:lang w:val="en-US" w:eastAsia="zh-CN"/>
        </w:rPr>
        <w:t>亩</w:t>
      </w:r>
      <w:r>
        <w:rPr>
          <w:rFonts w:hint="eastAsia" w:ascii="仿宋_GB2312" w:hAnsi="仿宋_GB2312" w:eastAsia="仿宋_GB2312" w:cs="仿宋_GB2312"/>
          <w:color w:val="000000"/>
          <w:sz w:val="32"/>
          <w:szCs w:val="32"/>
          <w:highlight w:val="none"/>
          <w:shd w:val="clear" w:color="auto" w:fill="auto"/>
          <w:lang w:eastAsia="zh-CN"/>
        </w:rPr>
        <w:t>，使用耕地</w:t>
      </w:r>
      <w:r>
        <w:rPr>
          <w:rFonts w:hint="eastAsia" w:ascii="Arial" w:hAnsi="Arial" w:eastAsia="仿宋_GB2312" w:cs="Arial"/>
          <w:color w:val="000000"/>
          <w:sz w:val="32"/>
          <w:szCs w:val="32"/>
          <w:highlight w:val="none"/>
          <w:shd w:val="clear" w:color="auto" w:fill="auto"/>
          <w:lang w:eastAsia="zh-CN"/>
        </w:rPr>
        <w:t>×××</w:t>
      </w:r>
      <w:r>
        <w:rPr>
          <w:rFonts w:hint="eastAsia" w:ascii="Arial" w:hAnsi="Arial" w:eastAsia="仿宋_GB2312" w:cs="Arial"/>
          <w:color w:val="000000"/>
          <w:sz w:val="32"/>
          <w:szCs w:val="32"/>
          <w:highlight w:val="none"/>
          <w:u w:val="none"/>
          <w:shd w:val="clear" w:color="auto" w:fill="auto"/>
          <w:lang w:val="en-US" w:eastAsia="zh-CN"/>
        </w:rPr>
        <w:t>亩</w:t>
      </w:r>
      <w:r>
        <w:rPr>
          <w:rFonts w:hint="eastAsia" w:ascii="仿宋_GB2312" w:hAnsi="仿宋_GB2312" w:eastAsia="仿宋_GB2312" w:cs="仿宋_GB2312"/>
          <w:color w:val="000000"/>
          <w:sz w:val="32"/>
          <w:szCs w:val="32"/>
          <w:highlight w:val="none"/>
          <w:shd w:val="clear" w:color="auto" w:fill="auto"/>
          <w:lang w:eastAsia="zh-CN"/>
        </w:rPr>
        <w:t>；辅助设施用地</w:t>
      </w:r>
      <w:r>
        <w:rPr>
          <w:rFonts w:hint="eastAsia" w:ascii="Arial" w:hAnsi="Arial" w:eastAsia="仿宋_GB2312" w:cs="Arial"/>
          <w:color w:val="000000"/>
          <w:sz w:val="32"/>
          <w:szCs w:val="32"/>
          <w:highlight w:val="none"/>
          <w:shd w:val="clear" w:color="auto" w:fill="auto"/>
          <w:lang w:eastAsia="zh-CN"/>
        </w:rPr>
        <w:t>×××</w:t>
      </w:r>
      <w:r>
        <w:rPr>
          <w:rFonts w:hint="eastAsia" w:ascii="Arial" w:hAnsi="Arial" w:eastAsia="仿宋_GB2312" w:cs="Arial"/>
          <w:color w:val="000000"/>
          <w:sz w:val="32"/>
          <w:szCs w:val="32"/>
          <w:highlight w:val="none"/>
          <w:u w:val="none"/>
          <w:shd w:val="clear" w:color="auto" w:fill="auto"/>
          <w:lang w:val="en-US" w:eastAsia="zh-CN"/>
        </w:rPr>
        <w:t>亩</w:t>
      </w:r>
      <w:r>
        <w:rPr>
          <w:rFonts w:hint="eastAsia" w:ascii="仿宋_GB2312" w:hAnsi="仿宋_GB2312" w:eastAsia="仿宋_GB2312" w:cs="仿宋_GB2312"/>
          <w:color w:val="000000"/>
          <w:sz w:val="32"/>
          <w:szCs w:val="32"/>
          <w:highlight w:val="none"/>
          <w:shd w:val="clear" w:color="auto" w:fill="auto"/>
          <w:lang w:eastAsia="zh-CN"/>
        </w:rPr>
        <w:t>，使用耕地</w:t>
      </w:r>
      <w:r>
        <w:rPr>
          <w:rFonts w:hint="eastAsia" w:ascii="Arial" w:hAnsi="Arial" w:eastAsia="仿宋_GB2312" w:cs="Arial"/>
          <w:color w:val="000000"/>
          <w:sz w:val="32"/>
          <w:szCs w:val="32"/>
          <w:highlight w:val="none"/>
          <w:shd w:val="clear" w:color="auto" w:fill="auto"/>
          <w:lang w:eastAsia="zh-CN"/>
        </w:rPr>
        <w:t>×××</w:t>
      </w:r>
      <w:r>
        <w:rPr>
          <w:rFonts w:hint="eastAsia" w:ascii="Arial" w:hAnsi="Arial" w:eastAsia="仿宋_GB2312" w:cs="Arial"/>
          <w:color w:val="000000"/>
          <w:sz w:val="32"/>
          <w:szCs w:val="32"/>
          <w:highlight w:val="none"/>
          <w:u w:val="none"/>
          <w:shd w:val="clear" w:color="auto" w:fill="auto"/>
          <w:lang w:val="en-US" w:eastAsia="zh-CN"/>
        </w:rPr>
        <w:t>亩</w:t>
      </w:r>
      <w:r>
        <w:rPr>
          <w:rFonts w:hint="eastAsia" w:ascii="仿宋_GB2312" w:hAnsi="仿宋_GB2312" w:eastAsia="仿宋_GB2312" w:cs="仿宋_GB2312"/>
          <w:color w:val="000000"/>
          <w:sz w:val="32"/>
          <w:szCs w:val="32"/>
          <w:highlight w:val="none"/>
          <w:shd w:val="clear" w:color="auto" w:fill="auto"/>
          <w:lang w:eastAsia="zh-CN"/>
        </w:rPr>
        <w:t>，占用地总面积的比例为</w:t>
      </w:r>
      <w:r>
        <w:rPr>
          <w:rFonts w:hint="eastAsia" w:ascii="Arial" w:hAnsi="Arial" w:eastAsia="仿宋_GB2312" w:cs="Arial"/>
          <w:color w:val="000000"/>
          <w:sz w:val="32"/>
          <w:szCs w:val="32"/>
          <w:highlight w:val="none"/>
          <w:shd w:val="clear" w:color="auto" w:fill="auto"/>
          <w:lang w:eastAsia="zh-CN"/>
        </w:rPr>
        <w:t>×××</w:t>
      </w:r>
      <w:r>
        <w:rPr>
          <w:rFonts w:hint="eastAsia" w:ascii="Arial" w:hAnsi="Arial" w:eastAsia="仿宋_GB2312" w:cs="Arial"/>
          <w:color w:val="000000"/>
          <w:sz w:val="32"/>
          <w:szCs w:val="32"/>
          <w:highlight w:val="none"/>
          <w:shd w:val="clear" w:color="auto" w:fill="auto"/>
          <w:lang w:val="en-US" w:eastAsia="zh-CN"/>
        </w:rPr>
        <w:t>%</w:t>
      </w:r>
      <w:r>
        <w:rPr>
          <w:rFonts w:hint="eastAsia" w:ascii="仿宋_GB2312" w:hAnsi="仿宋_GB2312" w:eastAsia="仿宋_GB2312" w:cs="仿宋_GB2312"/>
          <w:color w:val="00000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三，土地使用年限：乙方同意甲方使用该宗土地</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年。从</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年</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月</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日起，至</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年</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月</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日止。</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四、土地用途：该宗土地主要用于</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五、使用土地补偿费：甲方每年需向乙方支付土地补偿费</w:t>
      </w:r>
      <w:r>
        <w:rPr>
          <w:rFonts w:hint="eastAsia" w:ascii="Arial" w:hAnsi="Arial" w:eastAsia="仿宋_GB2312" w:cs="Arial"/>
          <w:color w:val="000000"/>
          <w:sz w:val="32"/>
          <w:szCs w:val="32"/>
          <w:highlight w:val="none"/>
          <w:shd w:val="clear" w:color="auto" w:fill="auto"/>
          <w:lang w:eastAsia="zh-CN"/>
        </w:rPr>
        <w:t>×××万元。</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六、甲方使用该宗土地涉及土地承包经营权流转的，甲方应依法与承包户签订土地承包经营权流转合同。经营期间，若遇土地征收征用，青苗和地上附着物补偿归承包农户（或甲方，或乙方）所有。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七、甲方应按合同约定及批准面积、位置、用途使用土地，在施工建设过程中，坚持采用×××（架空、预制板铺面隔离）耕作层保护措施，做到不超标，不移位，做到不改变用途，不出租，不休建永久性建筑。并自觉服从×××县（区）自然资源局、农业农村局相关部门和乡（镇、街道）人民政府的监管；若发生农业生产设施用地建设超标、移位、改变农业用途等违规行为，原接受拆除、处罚等处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八、期满后停止生产经营的，甲方应当退还土地，并恢复土地原耕作条件。如乙方期满后确需继续使用的，需提前一个月向当地乡（镇、街道）人民政府申请延期。</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九、甲方在使用土地期间，因国家建设、公共基础设施建设、村庄规划建设等需要使用土地的，甲方应无赔偿退出土地，地上建筑物等自行拆除，已交的土地使用费按使用年限折算退回。</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十、土地复垦：生产结束后甲方应在</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内（从</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年</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 xml:space="preserve"> 月</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日至</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年</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月</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日）按相关规定进行土地复垦；使用耕地的，应复垦为数量相等、质量相当的耕地。复垦完成后由</w:t>
      </w:r>
      <w:r>
        <w:rPr>
          <w:rFonts w:hint="eastAsia" w:ascii="Arial" w:hAnsi="Arial" w:eastAsia="仿宋_GB2312" w:cs="Arial"/>
          <w:color w:val="000000"/>
          <w:sz w:val="32"/>
          <w:szCs w:val="32"/>
          <w:highlight w:val="none"/>
          <w:shd w:val="clear" w:color="auto" w:fill="auto"/>
          <w:lang w:eastAsia="zh-CN"/>
        </w:rPr>
        <w:t>××</w:t>
      </w:r>
      <w:r>
        <w:rPr>
          <w:rFonts w:hint="eastAsia" w:ascii="Times New Roman" w:hAnsi="Times New Roman" w:eastAsia="仿宋_GB2312" w:cs="Times New Roman"/>
          <w:b w:val="0"/>
          <w:bCs w:val="0"/>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县（区）自然资源局组织有关专家对复垦、复耕情况进行验收，甲方不复垦复耕或复垦复耕验收中经整改仍不合格的，按照《土地复垦条例》等有关规定，由乡（镇、街道）人民政府代为组织复垦，复垦费用由甲方承担。</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十一、土地交还：甲方因经营不善未能按期支付双方约定的使用土地的相关费用，乙方有权提前收回甲方所使用的土地。协议约定使用年限到期后，如乙方有意愿继续出租该宗土地用于农业设施用地，甲方在同等条件下有优先申请使用权。土地交还后，甲方修建的农业生产设施、辅助设施及其它地上附着物归甲方处置，乙方有权要求甲方在规定时间内处置完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十二、违约责任：协议签订后，乙方不得以任何理由阻挡甲方施工。甲、乙双方任何一方违约，给对方造成重大经济损失，应赔偿对方违约金</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万元（大写：</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元整）。未经有审批权限的部门批准，甲方擅自改变农业设施用地用途，一经查处，所有损失由甲方自行负责。</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十三、本协议未尽事项，由甲、乙双方协商确定。因履行本协议发生争议，由双方协商解决。经协商达不成一致意见的，由乡（镇、街道）人民政府组织调解。调解不成的，可向所在地人民法院依法提起民事诉讼。</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十四、本协议一式 份，甲、乙双方签字（盖章）后生效，甲、乙双方和乡（镇、街道）人民政府各执一份，具有同等法律效力。甲、乙双方协商达成的补充协议亦为合同有效组成部分。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附件：设施农业用地位置图</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 xml:space="preserve">甲方（签章）： </w:t>
      </w:r>
      <w:r>
        <w:rPr>
          <w:rFonts w:hint="eastAsia" w:ascii="仿宋_GB2312" w:hAnsi="仿宋_GB2312" w:eastAsia="仿宋_GB2312" w:cs="仿宋_GB2312"/>
          <w:color w:val="000000"/>
          <w:sz w:val="32"/>
          <w:szCs w:val="32"/>
          <w:highlight w:val="none"/>
          <w:shd w:val="clear" w:color="auto" w:fill="auto"/>
          <w:lang w:val="en-US" w:eastAsia="zh-CN"/>
        </w:rPr>
        <w:t xml:space="preserve">               </w:t>
      </w:r>
      <w:r>
        <w:rPr>
          <w:rFonts w:hint="eastAsia" w:ascii="仿宋_GB2312" w:hAnsi="仿宋_GB2312" w:eastAsia="仿宋_GB2312" w:cs="仿宋_GB2312"/>
          <w:color w:val="000000"/>
          <w:sz w:val="32"/>
          <w:szCs w:val="32"/>
          <w:highlight w:val="none"/>
          <w:shd w:val="clear" w:color="auto" w:fill="auto"/>
          <w:lang w:eastAsia="zh-CN"/>
        </w:rPr>
        <w:t>乙方（签章）：</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 xml:space="preserve">负责人（签章）： </w:t>
      </w:r>
      <w:r>
        <w:rPr>
          <w:rFonts w:hint="eastAsia" w:ascii="仿宋_GB2312" w:hAnsi="仿宋_GB2312" w:eastAsia="仿宋_GB2312" w:cs="仿宋_GB2312"/>
          <w:color w:val="000000"/>
          <w:sz w:val="32"/>
          <w:szCs w:val="32"/>
          <w:highlight w:val="none"/>
          <w:shd w:val="clear" w:color="auto" w:fill="auto"/>
          <w:lang w:val="en-US" w:eastAsia="zh-CN"/>
        </w:rPr>
        <w:t xml:space="preserve">             </w:t>
      </w:r>
      <w:r>
        <w:rPr>
          <w:rFonts w:hint="eastAsia" w:ascii="仿宋_GB2312" w:hAnsi="仿宋_GB2312" w:eastAsia="仿宋_GB2312" w:cs="仿宋_GB2312"/>
          <w:color w:val="000000"/>
          <w:sz w:val="32"/>
          <w:szCs w:val="32"/>
          <w:highlight w:val="none"/>
          <w:shd w:val="clear" w:color="auto" w:fill="auto"/>
          <w:lang w:eastAsia="zh-CN"/>
        </w:rPr>
        <w:t>法人代表（签章）：</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 xml:space="preserve">　　　　年　　月　　日 </w:t>
      </w:r>
      <w:r>
        <w:rPr>
          <w:rFonts w:hint="eastAsia" w:ascii="仿宋_GB2312" w:hAnsi="仿宋_GB2312" w:eastAsia="仿宋_GB2312" w:cs="仿宋_GB2312"/>
          <w:color w:val="000000"/>
          <w:sz w:val="32"/>
          <w:szCs w:val="32"/>
          <w:highlight w:val="none"/>
          <w:shd w:val="clear" w:color="auto" w:fill="auto"/>
          <w:lang w:val="en-US" w:eastAsia="zh-CN"/>
        </w:rPr>
        <w:t xml:space="preserve">              </w:t>
      </w:r>
      <w:r>
        <w:rPr>
          <w:rFonts w:hint="eastAsia" w:ascii="仿宋_GB2312" w:hAnsi="仿宋_GB2312" w:eastAsia="仿宋_GB2312" w:cs="仿宋_GB2312"/>
          <w:color w:val="000000"/>
          <w:sz w:val="32"/>
          <w:szCs w:val="32"/>
          <w:highlight w:val="none"/>
          <w:shd w:val="clear" w:color="auto" w:fill="auto"/>
          <w:lang w:eastAsia="zh-CN"/>
        </w:rPr>
        <w:t>年　　月　　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dobe 黑体 Std R">
    <w:altName w:val="黑体"/>
    <w:panose1 w:val="00000000000000000000"/>
    <w:charset w:val="86"/>
    <w:family w:val="swiss"/>
    <w:pitch w:val="default"/>
    <w:sig w:usb0="00000000" w:usb1="00000000" w:usb2="00000010" w:usb3="00000000" w:csb0="00040000" w:csb1="00000000"/>
  </w:font>
  <w:font w:name="Arial">
    <w:panose1 w:val="020B0604020202020204"/>
    <w:charset w:val="86"/>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DengXian">
    <w:altName w:val="微软雅黑"/>
    <w:panose1 w:val="00000000000000000000"/>
    <w:charset w:val="86"/>
    <w:family w:val="auto"/>
    <w:pitch w:val="default"/>
    <w:sig w:usb0="00000000" w:usb1="00000000" w:usb2="00000010" w:usb3="00000000" w:csb0="00040000" w:csb1="00000000"/>
  </w:font>
  <w:font w:name="HiddenHorzOCR">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KaiTi_GB2312">
    <w:altName w:val="宋体"/>
    <w:panose1 w:val="00000000000000000000"/>
    <w:charset w:val="86"/>
    <w:family w:val="swiss"/>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ＤＦ中太楷書体">
    <w:altName w:val="宋体"/>
    <w:panose1 w:val="02010609010101010101"/>
    <w:charset w:val="80"/>
    <w:family w:val="auto"/>
    <w:pitch w:val="default"/>
    <w:sig w:usb0="00000000" w:usb1="00000000" w:usb2="00000010" w:usb3="00000000" w:csb0="00020000" w:csb1="00000000"/>
  </w:font>
  <w:font w:name="DFGothic-EB">
    <w:altName w:val="MS UI Gothic"/>
    <w:panose1 w:val="02010609010101010101"/>
    <w:charset w:val="80"/>
    <w:family w:val="auto"/>
    <w:pitch w:val="default"/>
    <w:sig w:usb0="00000000" w:usb1="00000000" w:usb2="00000010" w:usb3="00000000" w:csb0="00020000" w:csb1="00000000"/>
  </w:font>
  <w:font w:name="ＤＦ明朝体W5">
    <w:altName w:val="MS UI Gothic"/>
    <w:panose1 w:val="02010609010101010101"/>
    <w:charset w:val="80"/>
    <w:family w:val="auto"/>
    <w:pitch w:val="default"/>
    <w:sig w:usb0="00000000" w:usb1="00000000" w:usb2="00000010" w:usb3="00000000" w:csb0="00020001" w:csb1="00000000"/>
  </w:font>
  <w:font w:name="DFMincho-UB">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Bodoni Bd BT">
    <w:altName w:val="Segoe Print"/>
    <w:panose1 w:val="02070803080706020303"/>
    <w:charset w:val="00"/>
    <w:family w:val="auto"/>
    <w:pitch w:val="default"/>
    <w:sig w:usb0="00000000" w:usb1="00000000" w:usb2="00000000" w:usb3="00000000" w:csb0="00000011" w:csb1="00000000"/>
  </w:font>
  <w:font w:name="Arial Black">
    <w:panose1 w:val="020B0A04020102020204"/>
    <w:charset w:val="00"/>
    <w:family w:val="auto"/>
    <w:pitch w:val="default"/>
    <w:sig w:usb0="00000287" w:usb1="00000000" w:usb2="00000000" w:usb3="00000000" w:csb0="2000009F" w:csb1="DFD70000"/>
  </w:font>
  <w:font w:name="Century751 SeBd BT">
    <w:altName w:val="Segoe Print"/>
    <w:panose1 w:val="00000000000000000000"/>
    <w:charset w:val="00"/>
    <w:family w:val="auto"/>
    <w:pitch w:val="default"/>
    <w:sig w:usb0="00000000" w:usb1="00000000" w:usb2="00000000" w:usb3="00000000" w:csb0="00000011" w:csb1="00000000"/>
  </w:font>
  <w:font w:name="Cordia New">
    <w:panose1 w:val="020B03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Clarendon Blk BT">
    <w:altName w:val="Segoe Print"/>
    <w:panose1 w:val="02040905050505020204"/>
    <w:charset w:val="00"/>
    <w:family w:val="auto"/>
    <w:pitch w:val="default"/>
    <w:sig w:usb0="00000000" w:usb1="00000000" w:usb2="00000000" w:usb3="00000000" w:csb0="00000011" w:csb1="00000000"/>
  </w:font>
  <w:font w:name="CentSchbkCyrill BT">
    <w:altName w:val="Segoe Print"/>
    <w:panose1 w:val="02040603050705020303"/>
    <w:charset w:val="00"/>
    <w:family w:val="auto"/>
    <w:pitch w:val="default"/>
    <w:sig w:usb0="00000000" w:usb1="00000000" w:usb2="00000000" w:usb3="00000000" w:csb0="00000004"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穝灿砰">
    <w:altName w:val="Times New Roman"/>
    <w:panose1 w:val="00000000000000000000"/>
    <w:charset w:val="00"/>
    <w:family w:val="auto"/>
    <w:pitch w:val="default"/>
    <w:sig w:usb0="00000000" w:usb1="00000000" w:usb2="00000000" w:usb3="00000000" w:csb0="00040001" w:csb1="00000000"/>
  </w:font>
  <w:font w:name="FZXB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FZSSK--GBK1-0">
    <w:altName w:val="宋体"/>
    <w:panose1 w:val="00000000000000000000"/>
    <w:charset w:val="86"/>
    <w:family w:val="auto"/>
    <w:pitch w:val="default"/>
    <w:sig w:usb0="00000000" w:usb1="00000000" w:usb2="00000000" w:usb3="00000000" w:csb0="00040000" w:csb1="00000000"/>
  </w:font>
  <w:font w:name="FZSSK--GBK1-0">
    <w:altName w:val="Segoe Print"/>
    <w:panose1 w:val="00000000000000000000"/>
    <w:charset w:val="00"/>
    <w:family w:val="auto"/>
    <w:pitch w:val="default"/>
    <w:sig w:usb0="00000000" w:usb1="00000000" w:usb2="00000000" w:usb3="00000000" w:csb0="00000000" w:csb1="00000000"/>
  </w:font>
  <w:font w:name="FZHTK--GBK1-0">
    <w:altName w:val="宋体"/>
    <w:panose1 w:val="00000000000000000000"/>
    <w:charset w:val="86"/>
    <w:family w:val="auto"/>
    <w:pitch w:val="default"/>
    <w:sig w:usb0="00000000" w:usb1="00000000" w:usb2="00000000" w:usb3="00000000" w:csb0="00040000" w:csb1="00000000"/>
  </w:font>
  <w:font w:name="FZKTK--GBK1-0">
    <w:altName w:val="Segoe Print"/>
    <w:panose1 w:val="00000000000000000000"/>
    <w:charset w:val="00"/>
    <w:family w:val="auto"/>
    <w:pitch w:val="default"/>
    <w:sig w:usb0="00000000" w:usb1="00000000" w:usb2="00000000" w:usb3="00000000" w:csb0="00000000" w:csb1="00000000"/>
  </w:font>
  <w:font w:name="Adobe 楷体 Std R">
    <w:altName w:val="宋体"/>
    <w:panose1 w:val="00000000000000000000"/>
    <w:charset w:val="00"/>
    <w:family w:val="roman"/>
    <w:pitch w:val="default"/>
    <w:sig w:usb0="00000000" w:usb1="00000000" w:usb2="00000010" w:usb3="00000000" w:csb0="00060007" w:csb1="00000000"/>
  </w:font>
  <w:font w:name="ti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FangSong_GB2312">
    <w:altName w:val="仿宋"/>
    <w:panose1 w:val="00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Utsaah">
    <w:panose1 w:val="020B0604020202020204"/>
    <w:charset w:val="00"/>
    <w:family w:val="auto"/>
    <w:pitch w:val="default"/>
    <w:sig w:usb0="00008003" w:usb1="00000000" w:usb2="00000000" w:usb3="00000000" w:csb0="00000001"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TypoUpright BT">
    <w:altName w:val="Mongolian Baiti"/>
    <w:panose1 w:val="03020702030807050705"/>
    <w:charset w:val="00"/>
    <w:family w:val="auto"/>
    <w:pitch w:val="default"/>
    <w:sig w:usb0="00000000" w:usb1="00000000" w:usb2="00000000" w:usb3="00000000" w:csb0="0000001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3" w:csb1="00000000"/>
  </w:font>
  <w:font w:name="FangSong_GB2312">
    <w:altName w:val="仿宋"/>
    <w:panose1 w:val="00000000000000000000"/>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
    <w:altName w:val="Times New Roman"/>
    <w:panose1 w:val="00000000000000000000"/>
    <w:charset w:val="00"/>
    <w:family w:val="roman"/>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ta BT">
    <w:altName w:val="Gabriola"/>
    <w:panose1 w:val="04020906050602070202"/>
    <w:charset w:val="00"/>
    <w:family w:val="auto"/>
    <w:pitch w:val="default"/>
    <w:sig w:usb0="00000000" w:usb1="00000000" w:usb2="00000000" w:usb3="00000000" w:csb0="00000000"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niversalMath1 BT">
    <w:altName w:val="Segoe Print"/>
    <w:panose1 w:val="05050102010205020602"/>
    <w:charset w:val="00"/>
    <w:family w:val="auto"/>
    <w:pitch w:val="default"/>
    <w:sig w:usb0="00000000" w:usb1="00000000" w:usb2="00000000" w:usb3="00000000" w:csb0="00000000" w:csb1="00000000"/>
  </w:font>
  <w:font w:name="Txt">
    <w:altName w:val="Segoe Print"/>
    <w:panose1 w:val="00000400000000000000"/>
    <w:charset w:val="00"/>
    <w:family w:val="auto"/>
    <w:pitch w:val="default"/>
    <w:sig w:usb0="00000000" w:usb1="00000000" w:usb2="00000000" w:usb3="00000000" w:csb0="000001FF" w:csb1="00000000"/>
  </w:font>
  <w:font w:name="Tw Cen MT Condensed Extra Bold">
    <w:panose1 w:val="020B0803020202020204"/>
    <w:charset w:val="00"/>
    <w:family w:val="auto"/>
    <w:pitch w:val="default"/>
    <w:sig w:usb0="00000003" w:usb1="00000000" w:usb2="00000000" w:usb3="00000000" w:csb0="20000003" w:csb1="00000000"/>
  </w:font>
  <w:font w:name="TechnicLite">
    <w:altName w:val="Segoe Print"/>
    <w:panose1 w:val="000004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DeVinne Txt BT">
    <w:altName w:val="Segoe Print"/>
    <w:panose1 w:val="02020604070705020303"/>
    <w:charset w:val="00"/>
    <w:family w:val="auto"/>
    <w:pitch w:val="default"/>
    <w:sig w:usb0="00000000" w:usb1="00000000" w:usb2="00000000" w:usb3="00000000" w:csb0="00000011" w:csb1="00000000"/>
  </w:font>
  <w:font w:name="Geometr212 BkCn BT">
    <w:altName w:val="Segoe Print"/>
    <w:panose1 w:val="020B0603020204020204"/>
    <w:charset w:val="00"/>
    <w:family w:val="auto"/>
    <w:pitch w:val="default"/>
    <w:sig w:usb0="00000000" w:usb1="00000000" w:usb2="00000000" w:usb3="00000000" w:csb0="00000011" w:csb1="00000000"/>
  </w:font>
  <w:font w:name="Exotc350 DmBd BT">
    <w:altName w:val="Bauhaus 93"/>
    <w:panose1 w:val="04030705050B02020A03"/>
    <w:charset w:val="00"/>
    <w:family w:val="auto"/>
    <w:pitch w:val="default"/>
    <w:sig w:usb0="00000000" w:usb1="00000000" w:usb2="00000000" w:usb3="00000000" w:csb0="00000011" w:csb1="00000000"/>
  </w:font>
  <w:font w:name="Exotc350 Bd BT">
    <w:altName w:val="Bauhaus 93"/>
    <w:panose1 w:val="04030805050B02020A03"/>
    <w:charset w:val="00"/>
    <w:family w:val="auto"/>
    <w:pitch w:val="default"/>
    <w:sig w:usb0="00000000" w:usb1="00000000" w:usb2="00000000" w:usb3="00000000" w:csb0="00000011" w:csb1="00000000"/>
  </w:font>
  <w:font w:name="????_GBK">
    <w:altName w:val="Times New Roman"/>
    <w:panose1 w:val="00000000000000000000"/>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Bodoni Bk BT">
    <w:altName w:val="Segoe Print"/>
    <w:panose1 w:val="02070603070706020303"/>
    <w:charset w:val="00"/>
    <w:family w:val="auto"/>
    <w:pitch w:val="default"/>
    <w:sig w:usb0="00000000" w:usb1="00000000" w:usb2="00000000" w:usb3="00000000" w:csb0="00000011" w:csb1="00000000"/>
  </w:font>
  <w:font w:name="Bauhaus 93">
    <w:panose1 w:val="04030905020B02020C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B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xiaoyangyang</dc:creator>
  <cp:lastModifiedBy>xiaoyangyang</cp:lastModifiedBy>
  <dcterms:modified xsi:type="dcterms:W3CDTF">2020-11-19T03:54:43Z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