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黑体" w:cs="黑体"/>
          <w:snapToGrid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highlight w:val="none"/>
          <w:shd w:val="clear" w:color="auto" w:fill="auto"/>
        </w:rPr>
        <w:t>设施农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highlight w:val="none"/>
          <w:shd w:val="clear" w:color="auto" w:fill="auto"/>
          <w:lang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highlight w:val="none"/>
          <w:shd w:val="clear" w:color="auto" w:fill="auto"/>
        </w:rPr>
        <w:t>用地建设方案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vertAlign w:val="baseline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（参考样式）</w:t>
      </w:r>
    </w:p>
    <w:bookmarkEnd w:id="0"/>
    <w:tbl>
      <w:tblPr>
        <w:tblStyle w:val="6"/>
        <w:tblW w:w="9083" w:type="dxa"/>
        <w:jc w:val="center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890"/>
        <w:gridCol w:w="930"/>
        <w:gridCol w:w="410"/>
        <w:gridCol w:w="355"/>
        <w:gridCol w:w="1202"/>
        <w:gridCol w:w="58"/>
        <w:gridCol w:w="975"/>
        <w:gridCol w:w="524"/>
        <w:gridCol w:w="436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经营者名称及联系方式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项目名称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建设地点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（详见附图）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项目总用地规模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占用地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面积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合计</w:t>
            </w:r>
          </w:p>
        </w:tc>
        <w:tc>
          <w:tcPr>
            <w:tcW w:w="2025" w:type="dxa"/>
            <w:gridSpan w:val="4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耕地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林地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园地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永久基本农田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设施农用地用途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投资规模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7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建设工期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用地类型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及面积</w:t>
            </w: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生产设施用地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 ）亩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其中：耕地（ ）亩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种植农产品生产设施用地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工厂作物栽培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温室用地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畜禽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（蚕）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舍用地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（含场区内通道）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畜禽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（蚕）舍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绿化隔离带用地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水产养殖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塘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用地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工厂化养殖池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用地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工厂化养殖池进排水渠道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用地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辅助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设施用地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 ）亩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其中：耕地（ ）亩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检验检疫监测设施用地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疫病虫害防控设施用地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管理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看护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用房设施用地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粪污废弃物处置、运输车辆洗消烘站、养殖尾水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环保设施用地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生物质肥料生产场用地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临时存储、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预冷、保鲜、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分拣包装场所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抽水机（泵）房、备用发电机房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粮食烘干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（烤）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设施用地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晾晒场用地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粮食和农资临时存放场用地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大型农机具临时存放场用地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（    ）亩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7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耕作层保护措施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83" w:type="dxa"/>
            <w:gridSpan w:val="1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附图：农业设施平面布置示意图、标注农业项目区域和设施用地位置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shd w:val="clear" w:color="auto" w:fill="auto"/>
                <w:vertAlign w:val="baseline"/>
              </w:rPr>
              <w:t>土地利用现状图。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8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highlight w:val="none"/>
          <w:shd w:val="clear" w:color="auto" w:fill="auto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highlight w:val="none"/>
          <w:shd w:val="clear" w:color="auto" w:fill="auto"/>
          <w:vertAlign w:val="baseline"/>
        </w:rPr>
        <w:t>填表人：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highlight w:val="none"/>
          <w:shd w:val="clear" w:color="auto" w:fill="auto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highlight w:val="none"/>
          <w:shd w:val="clear" w:color="auto" w:fill="auto"/>
          <w:vertAlign w:val="baseline"/>
        </w:rPr>
        <w:t>联系电话：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highlight w:val="none"/>
          <w:shd w:val="clear" w:color="auto" w:fill="auto"/>
          <w:vertAlign w:val="baseli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highlight w:val="none"/>
          <w:shd w:val="clear" w:color="auto" w:fill="auto"/>
          <w:vertAlign w:val="baseline"/>
        </w:rPr>
        <w:t>填表时间：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highlight w:val="none"/>
          <w:shd w:val="clear" w:color="auto" w:fill="auto"/>
          <w:vertAlign w:val="baseline"/>
          <w:lang w:val="en-US" w:eastAsia="zh-CN"/>
        </w:rPr>
        <w:t xml:space="preserve">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DengXian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entury751 SeBd BT">
    <w:altName w:val="Segoe Print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CentSchbkCyrill BT">
    <w:altName w:val="Segoe Print"/>
    <w:panose1 w:val="02040603050705020303"/>
    <w:charset w:val="00"/>
    <w:family w:val="auto"/>
    <w:pitch w:val="default"/>
    <w:sig w:usb0="00000000" w:usb1="00000000" w:usb2="00000000" w:usb3="00000000" w:csb0="00000004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0000000000000000000"/>
    <w:charset w:val="00"/>
    <w:family w:val="roman"/>
    <w:pitch w:val="default"/>
    <w:sig w:usb0="00000000" w:usb1="00000000" w:usb2="00000010" w:usb3="00000000" w:csb0="00060007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Geometr212 BkCn BT">
    <w:altName w:val="Segoe Print"/>
    <w:panose1 w:val="020B0603020204020204"/>
    <w:charset w:val="00"/>
    <w:family w:val="auto"/>
    <w:pitch w:val="default"/>
    <w:sig w:usb0="00000000" w:usb1="00000000" w:usb2="00000000" w:usb3="00000000" w:csb0="00000011" w:csb1="00000000"/>
  </w:font>
  <w:font w:name="Exotc350 DmBd BT">
    <w:altName w:val="Bauhaus 93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Bauhaus 93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doni Bk BT">
    <w:altName w:val="Segoe Print"/>
    <w:panose1 w:val="02070603070706020303"/>
    <w:charset w:val="00"/>
    <w:family w:val="auto"/>
    <w:pitch w:val="default"/>
    <w:sig w:usb0="00000000" w:usb1="00000000" w:usb2="00000000" w:usb3="00000000" w:csb0="0000001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2020-11-19T03:54:03Z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