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贺州市（市本级）第三次国土调查耕地分等调查评价方案及全市汇总编制项目支出绩效自评报告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项目名称：贺州市（市本级）第三次国土调查耕地分等调查评价方案及全市汇总编制项目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主管部门：贺州市</w:t>
      </w:r>
      <w:r>
        <w:rPr>
          <w:rFonts w:hint="eastAsia" w:hAnsi="宋体" w:eastAsia="宋体" w:cs="宋体"/>
          <w:sz w:val="30"/>
          <w:szCs w:val="30"/>
          <w:lang w:eastAsia="zh-CN"/>
        </w:rPr>
        <w:t>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实施单位：贺州市</w:t>
      </w:r>
      <w:r>
        <w:rPr>
          <w:rFonts w:hint="eastAsia" w:hAnsi="宋体" w:eastAsia="宋体" w:cs="宋体"/>
          <w:sz w:val="30"/>
          <w:szCs w:val="30"/>
          <w:lang w:eastAsia="zh-CN"/>
        </w:rPr>
        <w:t>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28</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贺州市（市本级）第三次国土调查耕地分等调查评价方案及全市汇总编制服务采购</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徐彬栩</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rPr>
              <w:t>5685922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贺财建函〔2022〕249号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2019  年 5 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2023 年 6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广西壮族自治区第三次土地调查领导小组办公室关于印发广西第三次国土调查耕地分等调查评价工作方案的通知（桂土调查办〔2019〕1号）文件要求</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hint="eastAsia" w:ascii="仿宋_GB2312" w:hAnsi="仿宋_GB2312" w:eastAsia="仿宋_GB2312" w:cs="仿宋_GB2312"/>
                <w:sz w:val="18"/>
                <w:szCs w:val="18"/>
                <w:lang w:val="en-US" w:eastAsia="zh-CN"/>
              </w:rPr>
              <w:t>√</w:t>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110.06</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36.74</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33.38</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36.74</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33.38</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2019年第三次国土调查耕地分等调查评价工作方案编制费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36.74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36.74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贺财建函〔2022〕249号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姓名：徐彬栩</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姓名：叶新民</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姓名：朱丽娟</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：耕地保护监督科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val="0"/>
          <w:bCs w:val="0"/>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广西壮族自治区第三次土地调查领导小组办公室关于印发广西第三次国土调查耕地分等调查评价工作方案的通知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（桂土调查办</w:t>
      </w:r>
      <w:r>
        <w:rPr>
          <w:rFonts w:hint="default" w:ascii="Times New Roman" w:hAnsi="Times New Roman" w:eastAsia="仿宋_GB2312" w:cs="Times New Roman"/>
          <w:sz w:val="32"/>
          <w:szCs w:val="32"/>
        </w:rPr>
        <w:t>〔2019〕1</w:t>
      </w:r>
      <w:r>
        <w:rPr>
          <w:rFonts w:hint="eastAsia" w:ascii="仿宋_GB2312" w:hAnsi="仿宋_GB2312" w:eastAsia="仿宋_GB2312" w:cs="仿宋_GB2312"/>
          <w:sz w:val="32"/>
          <w:szCs w:val="32"/>
        </w:rPr>
        <w:t>号）文件要求，该项工作的实施内容包括开展补充调查、编制实施方案、耕地分等调查评价试算、三调耕地分等调查评价、统一时点变更、建设耕地分等数据库、全市成果汇总等，通过该项目的建设实施，进一步加强我市耕地数量、质量、生态“三位一体”保护，摸清我市耕地质量家底，提高耕地质量等别，严格落实耕地占补平衡，保障全市粮食安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b w:val="0"/>
          <w:bCs w:val="0"/>
          <w:sz w:val="32"/>
          <w:szCs w:val="32"/>
          <w:lang w:eastAsia="zh-CN"/>
        </w:rPr>
        <w:t>在收到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广西壮族自治区第三次土地调查领导小组办公室关于印发广西第三次国土调查耕地分等调查评价工作方案的通知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（桂土调查办</w:t>
      </w:r>
      <w:r>
        <w:rPr>
          <w:rFonts w:hint="eastAsia" w:ascii="Times New Roman" w:hAnsi="Times New Roman" w:eastAsia="仿宋_GB2312" w:cs="Times New Roman"/>
          <w:sz w:val="32"/>
          <w:szCs w:val="32"/>
        </w:rPr>
        <w:t>〔2019〕1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文件后，我局及时向市政府申请工作经费。在经费落实后，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我局按照程序通过公开招投标的方式确定技术承担单位，</w:t>
      </w:r>
      <w:r>
        <w:rPr>
          <w:rFonts w:hint="eastAsia" w:ascii="仿宋_GB2312" w:hAnsi="仿宋_GB2312" w:eastAsia="仿宋_GB2312" w:cs="仿宋_GB2312"/>
          <w:color w:val="auto"/>
          <w:sz w:val="32"/>
          <w:szCs w:val="32"/>
          <w:lang w:val="en-US" w:eastAsia="zh-CN"/>
        </w:rPr>
        <w:t>在签订合同后，支付合同总金额</w:t>
      </w:r>
      <w:r>
        <w:rPr>
          <w:rFonts w:hint="eastAsia" w:ascii="Times New Roman" w:hAnsi="Times New Roman" w:eastAsia="仿宋_GB2312" w:cs="Times New Roman"/>
          <w:sz w:val="32"/>
          <w:szCs w:val="32"/>
          <w:lang w:val="en-US" w:eastAsia="zh-CN"/>
        </w:rPr>
        <w:t>30%</w:t>
      </w:r>
      <w:r>
        <w:rPr>
          <w:rFonts w:hint="eastAsia" w:ascii="仿宋_GB2312" w:hAnsi="仿宋_GB2312" w:eastAsia="仿宋_GB2312" w:cs="仿宋_GB2312"/>
          <w:color w:val="auto"/>
          <w:sz w:val="32"/>
          <w:szCs w:val="32"/>
          <w:lang w:val="en-US" w:eastAsia="zh-CN"/>
        </w:rPr>
        <w:t>的人民币</w:t>
      </w:r>
      <w:r>
        <w:rPr>
          <w:rFonts w:hint="eastAsia" w:ascii="Times New Roman" w:hAnsi="Times New Roman" w:eastAsia="仿宋_GB2312" w:cs="Times New Roman"/>
          <w:sz w:val="32"/>
          <w:szCs w:val="32"/>
          <w:lang w:val="en-US" w:eastAsia="zh-CN"/>
        </w:rPr>
        <w:t>44.46</w:t>
      </w:r>
      <w:r>
        <w:rPr>
          <w:rFonts w:hint="eastAsia" w:ascii="仿宋_GB2312" w:hAnsi="仿宋_GB2312" w:eastAsia="仿宋_GB2312" w:cs="仿宋_GB2312"/>
          <w:color w:val="auto"/>
          <w:sz w:val="32"/>
          <w:szCs w:val="32"/>
          <w:lang w:val="en-US" w:eastAsia="zh-CN"/>
        </w:rPr>
        <w:t>万元作为前期工作经费。后在划定成果通过自治区和国家审查批复后一次性付清。</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Style w:val="7"/>
          <w:rFonts w:hint="default"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pPr>
      <w:r>
        <w:rPr>
          <w:rFonts w:hint="eastAsia" w:ascii="Times New Roman" w:hAnsi="Times New Roman" w:eastAsia="仿宋_GB2312" w:cs="Times New Roman"/>
          <w:kern w:val="2"/>
          <w:sz w:val="32"/>
          <w:szCs w:val="32"/>
          <w:lang w:val="en-US" w:eastAsia="zh-CN" w:bidi="ar-SA"/>
        </w:rPr>
        <w:t>1.</w:t>
      </w:r>
      <w:r>
        <w:rPr>
          <w:rFonts w:hint="eastAsia" w:ascii="仿宋_GB2312" w:hAnsi="仿宋_GB2312" w:eastAsia="仿宋_GB2312" w:cs="仿宋_GB2312"/>
          <w:sz w:val="32"/>
          <w:szCs w:val="32"/>
          <w:lang w:val="en-US" w:eastAsia="zh-CN"/>
        </w:rPr>
        <w:t>项目组织情况。根据</w:t>
      </w:r>
      <w:r>
        <w:rPr>
          <w:rFonts w:hint="eastAsia" w:ascii="仿宋_GB2312" w:hAnsi="仿宋_GB2312" w:eastAsia="仿宋_GB2312" w:cs="仿宋_GB2312"/>
          <w:sz w:val="32"/>
          <w:szCs w:val="32"/>
        </w:rPr>
        <w:t>桂土调查办</w:t>
      </w:r>
      <w:r>
        <w:rPr>
          <w:rFonts w:hint="eastAsia" w:ascii="Times New Roman" w:hAnsi="Times New Roman" w:eastAsia="仿宋_GB2312" w:cs="Times New Roman"/>
          <w:kern w:val="2"/>
          <w:sz w:val="32"/>
          <w:szCs w:val="32"/>
          <w:lang w:val="en-US" w:eastAsia="zh-CN" w:bidi="ar-SA"/>
        </w:rPr>
        <w:t>〔2019〕1</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有关要求，按照技术规程，对我市</w:t>
      </w:r>
      <w:r>
        <w:rPr>
          <w:rFonts w:hint="eastAsia" w:ascii="仿宋_GB2312" w:hAnsi="仿宋_GB2312" w:eastAsia="仿宋_GB2312" w:cs="仿宋_GB2312"/>
          <w:sz w:val="32"/>
          <w:szCs w:val="32"/>
        </w:rPr>
        <w:t>第三次国土调查耕地分等调查评价</w:t>
      </w:r>
      <w:r>
        <w:rPr>
          <w:rStyle w:val="7"/>
          <w:rFonts w:hint="eastAsia" w:ascii="Times New Roman" w:hAnsi="Times New Roman" w:eastAsia="仿宋_GB2312" w:cs="Times New Roman"/>
          <w:b w:val="0"/>
          <w:bCs w:val="0"/>
          <w:i w:val="0"/>
          <w:caps w:val="0"/>
          <w:color w:val="000000"/>
          <w:spacing w:val="0"/>
          <w:w w:val="100"/>
          <w:sz w:val="32"/>
          <w:szCs w:val="32"/>
          <w:lang w:val="en-US" w:eastAsia="zh-CN"/>
        </w:rPr>
        <w:t>。</w:t>
      </w:r>
      <w:r>
        <w:rPr>
          <w:rStyle w:val="7"/>
          <w:rFonts w:hint="eastAsia" w:ascii="Times New Roman" w:hAnsi="Times New Roman" w:eastAsia="仿宋_GB2312" w:cs="Times New Roman"/>
          <w:b w:val="0"/>
          <w:bCs w:val="0"/>
          <w:i w:val="0"/>
          <w:caps w:val="0"/>
          <w:color w:val="000000" w:themeColor="text1"/>
          <w:spacing w:val="0"/>
          <w:w w:val="100"/>
          <w:sz w:val="32"/>
          <w:szCs w:val="32"/>
          <w:lang w:val="en-US" w:eastAsia="zh-CN"/>
          <w14:textFill>
            <w14:solidFill>
              <w14:schemeClr w14:val="tx1"/>
            </w14:solidFill>
          </w14:textFill>
        </w:rPr>
        <w:t>将调查评价成果上报自治区审查，然后由自治区上报国家审核批复。</w:t>
      </w:r>
    </w:p>
    <w:p>
      <w:pPr>
        <w:pStyle w:val="2"/>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项目管理情况。项</w:t>
      </w:r>
      <w:r>
        <w:rPr>
          <w:rFonts w:hint="eastAsia" w:ascii="仿宋_GB2312" w:hAnsi="仿宋_GB2312" w:eastAsia="仿宋_GB2312" w:cs="仿宋_GB2312"/>
          <w:sz w:val="32"/>
          <w:szCs w:val="32"/>
          <w:lang w:val="en-US" w:eastAsia="zh-CN"/>
        </w:rPr>
        <w:t>目实施过程中，与技术承担单位密切沟通联系，妥善解决项目推进过程中遇到困难和问题。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1</w:t>
      </w:r>
      <w:r>
        <w:rPr>
          <w:rFonts w:hint="eastAsia" w:ascii="仿宋_GB2312" w:hAnsi="仿宋_GB2312" w:eastAsia="仿宋_GB2312" w:cs="仿宋_GB2312"/>
          <w:sz w:val="32"/>
          <w:szCs w:val="32"/>
          <w:lang w:val="en-US" w:eastAsia="zh-CN"/>
        </w:rPr>
        <w:t>）数量指标 ：一是贺州市（市本级）第三次国土调查分等调查评价成果（相关表格和文档类成果）；二是全市三县两区第三次国土调查分等调查评价成果汇总成果。（满分</w:t>
      </w:r>
      <w:r>
        <w:rPr>
          <w:rFonts w:hint="eastAsia" w:ascii="Times New Roman" w:hAnsi="Times New Roman" w:eastAsia="仿宋_GB2312" w:cs="Times New Roman"/>
          <w:sz w:val="32"/>
          <w:szCs w:val="32"/>
          <w:lang w:val="en-US" w:eastAsia="zh-CN"/>
        </w:rPr>
        <w:t>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2</w:t>
      </w:r>
      <w:r>
        <w:rPr>
          <w:rFonts w:hint="eastAsia" w:ascii="仿宋_GB2312" w:hAnsi="仿宋_GB2312" w:eastAsia="仿宋_GB2312" w:cs="仿宋_GB2312"/>
          <w:sz w:val="32"/>
          <w:szCs w:val="32"/>
          <w:lang w:val="en-US" w:eastAsia="zh-CN"/>
        </w:rPr>
        <w:t>）质量指标：贺州市（市本级）第三次国土调查分等调查评价成果及全市汇总成果通过自治区审核。（满</w:t>
      </w:r>
      <w:r>
        <w:rPr>
          <w:rFonts w:hint="eastAsia" w:ascii="Times New Roman" w:hAnsi="Times New Roman" w:eastAsia="仿宋_GB2312" w:cs="Times New Roman"/>
          <w:sz w:val="32"/>
          <w:szCs w:val="32"/>
          <w:lang w:val="en-US" w:eastAsia="zh-CN"/>
        </w:rPr>
        <w:t>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3</w:t>
      </w:r>
      <w:r>
        <w:rPr>
          <w:rFonts w:hint="eastAsia" w:ascii="仿宋_GB2312" w:hAnsi="仿宋_GB2312" w:eastAsia="仿宋_GB2312" w:cs="仿宋_GB2312"/>
          <w:sz w:val="32"/>
          <w:szCs w:val="32"/>
          <w:lang w:val="en-US" w:eastAsia="zh-CN"/>
        </w:rPr>
        <w:t>）时效指标：按自治区统一时间节点完成。（满</w:t>
      </w:r>
      <w:r>
        <w:rPr>
          <w:rFonts w:hint="eastAsia" w:ascii="Times New Roman" w:hAnsi="Times New Roman" w:eastAsia="仿宋_GB2312" w:cs="Times New Roman"/>
          <w:sz w:val="32"/>
          <w:szCs w:val="32"/>
          <w:lang w:val="en-US" w:eastAsia="zh-CN"/>
        </w:rPr>
        <w:t>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r>
        <w:rPr>
          <w:rFonts w:hint="eastAsia" w:ascii="Times New Roman" w:hAnsi="Times New Roman" w:eastAsia="仿宋_GB2312" w:cs="Times New Roman"/>
          <w:sz w:val="32"/>
          <w:szCs w:val="32"/>
          <w:lang w:val="en-US" w:eastAsia="zh-CN"/>
        </w:rPr>
        <w:t>4</w:t>
      </w:r>
      <w:r>
        <w:rPr>
          <w:rFonts w:hint="eastAsia" w:ascii="仿宋_GB2312" w:hAnsi="仿宋_GB2312" w:eastAsia="仿宋_GB2312" w:cs="仿宋_GB2312"/>
          <w:sz w:val="32"/>
          <w:szCs w:val="32"/>
          <w:lang w:val="en-US" w:eastAsia="zh-CN"/>
        </w:rPr>
        <w:t>）成本指标：不突破年度预算金额。（满</w:t>
      </w:r>
      <w:r>
        <w:rPr>
          <w:rFonts w:hint="eastAsia" w:ascii="Times New Roman" w:hAnsi="Times New Roman" w:eastAsia="仿宋_GB2312" w:cs="Times New Roman"/>
          <w:sz w:val="32"/>
          <w:szCs w:val="32"/>
          <w:lang w:val="en-US" w:eastAsia="zh-CN"/>
        </w:rPr>
        <w:t>分10分，得10分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综上，总</w:t>
      </w:r>
      <w:r>
        <w:rPr>
          <w:rFonts w:hint="eastAsia" w:ascii="Times New Roman" w:hAnsi="Times New Roman" w:eastAsia="仿宋_GB2312" w:cs="Times New Roman"/>
          <w:sz w:val="32"/>
          <w:szCs w:val="32"/>
          <w:lang w:val="en-US" w:eastAsia="zh-CN"/>
        </w:rPr>
        <w:t>分50分，得分50分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项目效益情况分析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贺州市（市本级）第三次国土调查耕地分等调查评价方案及全市汇总编制</w:t>
      </w:r>
      <w:r>
        <w:rPr>
          <w:rFonts w:hint="eastAsia" w:ascii="仿宋_GB2312" w:hAnsi="仿宋_GB2312" w:eastAsia="仿宋_GB2312" w:cs="仿宋_GB2312"/>
          <w:sz w:val="32"/>
          <w:szCs w:val="32"/>
          <w:lang w:val="en-US" w:eastAsia="zh-CN"/>
        </w:rPr>
        <w:t>建立我市耕地等别库，在经济、社会、生态等方面取得很好的效益。</w:t>
      </w:r>
      <w:r>
        <w:rPr>
          <w:rFonts w:hint="eastAsia" w:ascii="Times New Roman" w:hAnsi="Times New Roman" w:eastAsia="仿宋_GB2312" w:cs="Times New Roman"/>
          <w:sz w:val="32"/>
          <w:szCs w:val="32"/>
          <w:lang w:val="en-US" w:eastAsia="zh-CN"/>
        </w:rPr>
        <w:t>总分30分，得分30分。</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项目可持续性分析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贺州市（市本级）第三次国土调查耕地分等调查评价方案及全市汇总编制</w:t>
      </w:r>
      <w:r>
        <w:rPr>
          <w:rFonts w:hint="eastAsia" w:ascii="仿宋_GB2312" w:hAnsi="仿宋_GB2312" w:eastAsia="仿宋_GB2312" w:cs="仿宋_GB2312"/>
          <w:sz w:val="32"/>
          <w:szCs w:val="32"/>
          <w:lang w:val="en-US" w:eastAsia="zh-CN"/>
        </w:rPr>
        <w:t>建立我市耕地等别库，摸清我市耕地质量家底，提高耕地质量等别，严格落实耕地占补平衡，保障全市粮食安全。为进一步加强我市耕地数量、质量、生态“三位一体”保护、科学合理利用土地提供参考依据。总</w:t>
      </w:r>
      <w:r>
        <w:rPr>
          <w:rFonts w:hint="eastAsia" w:ascii="Times New Roman" w:hAnsi="Times New Roman" w:eastAsia="仿宋_GB2312" w:cs="Times New Roman"/>
          <w:sz w:val="32"/>
          <w:szCs w:val="32"/>
          <w:lang w:val="en-US" w:eastAsia="zh-CN"/>
        </w:rPr>
        <w:t>分30分，得分30分</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评价结果和评价结论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总分</w:t>
      </w:r>
      <w:r>
        <w:rPr>
          <w:rFonts w:hint="eastAsia" w:ascii="Times New Roman" w:hAnsi="Times New Roman" w:eastAsia="仿宋_GB2312" w:cs="Times New Roman"/>
          <w:sz w:val="32"/>
          <w:szCs w:val="32"/>
          <w:lang w:val="en-US" w:eastAsia="zh-CN"/>
        </w:rPr>
        <w:t>100分，</w:t>
      </w:r>
      <w:r>
        <w:rPr>
          <w:rFonts w:hint="eastAsia" w:ascii="Times New Roman" w:hAnsi="Times New Roman" w:eastAsia="仿宋_GB2312" w:cs="Times New Roman"/>
          <w:sz w:val="32"/>
          <w:szCs w:val="32"/>
        </w:rPr>
        <w:t>自评</w:t>
      </w:r>
      <w:r>
        <w:rPr>
          <w:rFonts w:hint="eastAsia" w:ascii="Times New Roman" w:hAnsi="Times New Roman" w:eastAsia="仿宋_GB2312" w:cs="Times New Roman"/>
          <w:sz w:val="32"/>
          <w:szCs w:val="32"/>
          <w:lang w:val="en-US" w:eastAsia="zh-CN"/>
        </w:rPr>
        <w:t>93.34</w:t>
      </w:r>
      <w:bookmarkStart w:id="0" w:name="_GoBack"/>
      <w:bookmarkEnd w:id="0"/>
      <w:r>
        <w:rPr>
          <w:rFonts w:hint="eastAsia" w:ascii="仿宋_GB2312" w:hAnsi="仿宋_GB2312" w:eastAsia="仿宋_GB2312" w:cs="仿宋_GB2312"/>
          <w:sz w:val="32"/>
          <w:szCs w:val="32"/>
          <w:lang w:val="en-US" w:eastAsia="zh-CN"/>
        </w:rPr>
        <w:t>分，项目完成</w:t>
      </w:r>
      <w:r>
        <w:rPr>
          <w:rFonts w:hint="eastAsia" w:ascii="仿宋_GB2312" w:hAnsi="仿宋_GB2312" w:eastAsia="仿宋_GB2312" w:cs="仿宋_GB2312"/>
          <w:sz w:val="32"/>
          <w:szCs w:val="32"/>
        </w:rPr>
        <w:t>总体</w:t>
      </w:r>
      <w:r>
        <w:rPr>
          <w:rFonts w:hint="eastAsia" w:ascii="仿宋_GB2312" w:hAnsi="仿宋_GB2312" w:eastAsia="仿宋_GB2312" w:cs="仿宋_GB2312"/>
          <w:sz w:val="32"/>
          <w:szCs w:val="32"/>
          <w:lang w:eastAsia="zh-CN"/>
        </w:rPr>
        <w:t>较好，达到预期目标</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keepNext w:val="0"/>
        <w:keepLines w:val="0"/>
        <w:pageBreakBefore w:val="0"/>
        <w:widowControl w:val="0"/>
        <w:kinsoku/>
        <w:wordWrap/>
        <w:overflowPunct/>
        <w:topLinePunct w:val="0"/>
        <w:autoSpaceDE/>
        <w:autoSpaceDN/>
        <w:bidi w:val="0"/>
        <w:adjustRightInd w:val="0"/>
        <w:snapToGrid w:val="0"/>
        <w:spacing w:line="520" w:lineRule="exact"/>
        <w:ind w:left="0" w:leftChars="0" w:right="0" w:rightChars="0" w:firstLine="629"/>
        <w:jc w:val="both"/>
        <w:textAlignment w:val="auto"/>
        <w:rPr>
          <w:rFonts w:hint="default" w:ascii="Times New Roman" w:hAnsi="Times New Roman" w:eastAsia="仿宋_GB2312" w:cs="Times New Roman"/>
          <w:sz w:val="32"/>
          <w:szCs w:val="32"/>
        </w:rPr>
      </w:pPr>
      <w:r>
        <w:rPr>
          <w:rFonts w:hint="default" w:ascii="楷体_GB2312" w:hAnsi="楷体_GB2312" w:eastAsia="楷体_GB2312" w:cs="楷体_GB2312"/>
          <w:b/>
          <w:bCs/>
          <w:kern w:val="2"/>
          <w:sz w:val="32"/>
          <w:szCs w:val="32"/>
          <w:lang w:val="en-US" w:eastAsia="zh-CN" w:bidi="ar-SA"/>
        </w:rPr>
        <w:t>（一）领导重视，部署到位。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广西壮族自治区第三次土地调查领导小组办公室关于印发广西第三次国土调查耕地分等调查评价工作方案的通知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（桂土调查办</w:t>
      </w:r>
      <w:r>
        <w:rPr>
          <w:rFonts w:hint="eastAsia" w:ascii="Times New Roman" w:hAnsi="Times New Roman" w:eastAsia="仿宋_GB2312" w:cs="Times New Roman"/>
          <w:kern w:val="2"/>
          <w:sz w:val="32"/>
          <w:szCs w:val="32"/>
          <w:lang w:val="en-US" w:eastAsia="zh-CN" w:bidi="ar-SA"/>
        </w:rPr>
        <w:t>〔2019〕1</w:t>
      </w:r>
      <w:r>
        <w:rPr>
          <w:rFonts w:hint="eastAsia" w:ascii="仿宋_GB2312" w:hAnsi="仿宋_GB2312" w:eastAsia="仿宋_GB2312" w:cs="仿宋_GB2312"/>
          <w:sz w:val="32"/>
          <w:szCs w:val="32"/>
        </w:rPr>
        <w:t>号）</w:t>
      </w:r>
      <w:r>
        <w:rPr>
          <w:rFonts w:hint="default" w:ascii="Times New Roman" w:hAnsi="Times New Roman" w:eastAsia="仿宋_GB2312" w:cs="Times New Roman"/>
          <w:sz w:val="32"/>
          <w:szCs w:val="32"/>
          <w:lang w:eastAsia="zh-CN"/>
        </w:rPr>
        <w:t>印发后，局领导</w:t>
      </w:r>
      <w:r>
        <w:rPr>
          <w:rFonts w:hint="default" w:ascii="Times New Roman" w:hAnsi="Times New Roman" w:eastAsia="仿宋_GB2312" w:cs="Times New Roman"/>
          <w:sz w:val="32"/>
          <w:szCs w:val="32"/>
        </w:rPr>
        <w:t>及时向市政府汇报，并得到市领导的高度重视。</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default" w:ascii="楷体_GB2312" w:hAnsi="楷体_GB2312" w:eastAsia="楷体_GB2312" w:cs="楷体_GB2312"/>
          <w:b/>
          <w:bCs/>
          <w:kern w:val="2"/>
          <w:sz w:val="32"/>
          <w:szCs w:val="32"/>
          <w:lang w:val="en-US" w:eastAsia="zh-CN" w:bidi="ar-SA"/>
        </w:rPr>
        <w:t>（二）落实人员，经费到位。</w:t>
      </w:r>
      <w:r>
        <w:rPr>
          <w:rFonts w:hint="default" w:ascii="Times New Roman" w:hAnsi="Times New Roman" w:eastAsia="仿宋_GB2312" w:cs="Times New Roman"/>
          <w:sz w:val="32"/>
          <w:szCs w:val="32"/>
        </w:rPr>
        <w:t>按照根据</w:t>
      </w:r>
      <w:r>
        <w:rPr>
          <w:rFonts w:hint="eastAsia" w:ascii="仿宋_GB2312" w:hAnsi="仿宋_GB2312" w:eastAsia="仿宋_GB2312" w:cs="仿宋_GB2312"/>
          <w:sz w:val="32"/>
          <w:szCs w:val="32"/>
        </w:rPr>
        <w:t>桂土调查办</w:t>
      </w:r>
      <w:r>
        <w:rPr>
          <w:rFonts w:hint="eastAsia" w:ascii="Times New Roman" w:hAnsi="Times New Roman" w:eastAsia="仿宋_GB2312" w:cs="Times New Roman"/>
          <w:sz w:val="32"/>
          <w:szCs w:val="32"/>
        </w:rPr>
        <w:t>〔2019〕1号</w:t>
      </w:r>
      <w:r>
        <w:rPr>
          <w:rFonts w:hint="default" w:ascii="Times New Roman" w:hAnsi="Times New Roman" w:eastAsia="仿宋_GB2312" w:cs="Times New Roman"/>
          <w:sz w:val="32"/>
          <w:szCs w:val="32"/>
        </w:rPr>
        <w:t>要求，立即组织委托技术单位</w:t>
      </w:r>
      <w:r>
        <w:rPr>
          <w:rFonts w:hint="default" w:ascii="Times New Roman" w:hAnsi="Times New Roman" w:eastAsia="仿宋_GB2312" w:cs="Times New Roman"/>
          <w:sz w:val="32"/>
          <w:szCs w:val="32"/>
          <w:lang w:eastAsia="zh-CN"/>
        </w:rPr>
        <w:t>开展了</w:t>
      </w:r>
      <w:r>
        <w:rPr>
          <w:rFonts w:hint="eastAsia" w:ascii="仿宋_GB2312" w:hAnsi="仿宋_GB2312" w:eastAsia="仿宋_GB2312" w:cs="仿宋_GB2312"/>
          <w:sz w:val="32"/>
          <w:szCs w:val="32"/>
        </w:rPr>
        <w:t>贺州市（市本级）第三次国土调查耕地分等调查评价方案及全市汇总编制</w:t>
      </w:r>
      <w:r>
        <w:rPr>
          <w:rFonts w:hint="default" w:ascii="Times New Roman" w:hAnsi="Times New Roman" w:eastAsia="仿宋_GB2312" w:cs="Times New Roman"/>
          <w:sz w:val="32"/>
          <w:szCs w:val="32"/>
        </w:rPr>
        <w:t>工作，并明确专人负责</w:t>
      </w:r>
      <w:r>
        <w:rPr>
          <w:rFonts w:hint="eastAsia" w:ascii="仿宋_GB2312" w:hAnsi="仿宋_GB2312" w:eastAsia="仿宋_GB2312" w:cs="仿宋_GB2312"/>
          <w:sz w:val="32"/>
          <w:szCs w:val="32"/>
        </w:rPr>
        <w:t>第三次国土调查</w:t>
      </w:r>
      <w:r>
        <w:rPr>
          <w:rFonts w:hint="default" w:ascii="Times New Roman" w:hAnsi="Times New Roman" w:eastAsia="仿宋_GB2312" w:cs="Times New Roman"/>
          <w:sz w:val="32"/>
          <w:szCs w:val="32"/>
        </w:rPr>
        <w:t>工作和落实工作经费，切实保障该项工作的顺利推进。</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华文楷体">
    <w:altName w:val="宋体"/>
    <w:panose1 w:val="00000000000000000000"/>
    <w:charset w:val="00"/>
    <w:family w:val="auto"/>
    <w:pitch w:val="default"/>
    <w:sig w:usb0="00000000" w:usb1="00000000" w:usb2="00000000" w:usb3="00000000" w:csb0="00000000" w:csb1="00000000"/>
  </w:font>
  <w:font w:name="BatangChe">
    <w:panose1 w:val="02030609000101010101"/>
    <w:charset w:val="81"/>
    <w:family w:val="auto"/>
    <w:pitch w:val="default"/>
    <w:sig w:usb0="B00002AF" w:usb1="69D77CFB" w:usb2="00000030" w:usb3="00000000" w:csb0="4008009F" w:csb1="DFD70000"/>
  </w:font>
  <w:font w:name="ＤＦ明朝体W5">
    <w:altName w:val="MS UI Gothic"/>
    <w:panose1 w:val="02010609010101010101"/>
    <w:charset w:val="80"/>
    <w:family w:val="auto"/>
    <w:pitch w:val="default"/>
    <w:sig w:usb0="00000000" w:usb1="00000000" w:usb2="00000010" w:usb3="00000000" w:csb0="00020001" w:csb1="00000000"/>
  </w:font>
  <w:font w:name="ＤＦ中太楷書体">
    <w:altName w:val="宋体"/>
    <w:panose1 w:val="02010609010101010101"/>
    <w:charset w:val="80"/>
    <w:family w:val="auto"/>
    <w:pitch w:val="default"/>
    <w:sig w:usb0="00000000" w:usb1="00000000" w:usb2="00000010" w:usb3="00000000" w:csb0="00020000" w:csb1="00000000"/>
  </w:font>
  <w:font w:name="Calibri Light">
    <w:altName w:val="Calibri"/>
    <w:panose1 w:val="020F0302020204030204"/>
    <w:charset w:val="00"/>
    <w:family w:val="auto"/>
    <w:pitch w:val="default"/>
    <w:sig w:usb0="00000000" w:usb1="00000000" w:usb2="00000000" w:usb3="00000000" w:csb0="2000019F" w:csb1="00000000"/>
  </w:font>
  <w:font w:name="Batang">
    <w:panose1 w:val="02030600000101010101"/>
    <w:charset w:val="81"/>
    <w:family w:val="auto"/>
    <w:pitch w:val="default"/>
    <w:sig w:usb0="B00002AF" w:usb1="69D77CFB" w:usb2="00000030" w:usb3="00000000" w:csb0="4008009F" w:csb1="DFD70000"/>
  </w:font>
  <w:font w:name="anticon">
    <w:altName w:val="Segoe Print"/>
    <w:panose1 w:val="00000000000000000000"/>
    <w:charset w:val="00"/>
    <w:family w:val="auto"/>
    <w:pitch w:val="default"/>
    <w:sig w:usb0="00000000" w:usb1="00000000" w:usb2="00000000" w:usb3="00000000" w:csb0="00000000" w:csb1="00000000"/>
  </w:font>
  <w:font w:name="menu">
    <w:altName w:val="Segoe Print"/>
    <w:panose1 w:val="00000000000000000000"/>
    <w:charset w:val="00"/>
    <w:family w:val="auto"/>
    <w:pitch w:val="default"/>
    <w:sig w:usb0="00000000" w:usb1="00000000" w:usb2="00000000" w:usb3="00000000" w:csb0="00000000" w:csb1="00000000"/>
  </w:font>
  <w:font w:name="icon-workflow">
    <w:altName w:val="Segoe Print"/>
    <w:panose1 w:val="00000000000000000000"/>
    <w:charset w:val="00"/>
    <w:family w:val="auto"/>
    <w:pitch w:val="default"/>
    <w:sig w:usb0="00000000" w:usb1="00000000" w:usb2="00000000" w:usb3="00000000" w:csb0="00000000" w:csb1="00000000"/>
  </w:font>
  <w:font w:name="icon-coms">
    <w:altName w:val="Segoe Print"/>
    <w:panose1 w:val="00000000000000000000"/>
    <w:charset w:val="00"/>
    <w:family w:val="auto"/>
    <w:pitch w:val="default"/>
    <w:sig w:usb0="00000000" w:usb1="00000000" w:usb2="00000000" w:usb3="00000000" w:csb0="00000000" w:csb1="00000000"/>
  </w:font>
  <w:font w:name="icon-report">
    <w:altName w:val="Segoe Print"/>
    <w:panose1 w:val="00000000000000000000"/>
    <w:charset w:val="00"/>
    <w:family w:val="auto"/>
    <w:pitch w:val="default"/>
    <w:sig w:usb0="00000000" w:usb1="00000000" w:usb2="00000000" w:usb3="00000000" w:csb0="00000000" w:csb1="00000000"/>
  </w:font>
  <w:font w:name="icon-portal">
    <w:altName w:val="Segoe Print"/>
    <w:panose1 w:val="00000000000000000000"/>
    <w:charset w:val="00"/>
    <w:family w:val="auto"/>
    <w:pitch w:val="default"/>
    <w:sig w:usb0="00000000" w:usb1="00000000" w:usb2="00000000" w:usb3="00000000" w:csb0="00000000" w:csb1="00000000"/>
  </w:font>
  <w:font w:name="icon-coms02">
    <w:altName w:val="Segoe Print"/>
    <w:panose1 w:val="00000000000000000000"/>
    <w:charset w:val="00"/>
    <w:family w:val="auto"/>
    <w:pitch w:val="default"/>
    <w:sig w:usb0="00000000" w:usb1="00000000" w:usb2="00000000" w:usb3="00000000" w:csb0="00000000" w:csb1="00000000"/>
  </w:font>
  <w:font w:name="icon-dev">
    <w:altName w:val="Segoe Print"/>
    <w:panose1 w:val="00000000000000000000"/>
    <w:charset w:val="00"/>
    <w:family w:val="auto"/>
    <w:pitch w:val="default"/>
    <w:sig w:usb0="00000000" w:usb1="00000000" w:usb2="00000000" w:usb3="00000000" w:csb0="00000000" w:csb1="00000000"/>
  </w:font>
  <w:font w:name="wevicon">
    <w:altName w:val="Segoe Print"/>
    <w:panose1 w:val="00000000000000000000"/>
    <w:charset w:val="00"/>
    <w:family w:val="auto"/>
    <w:pitch w:val="default"/>
    <w:sig w:usb0="00000000" w:usb1="00000000" w:usb2="00000000" w:usb3="00000000" w:csb0="00000000" w:csb1="00000000"/>
  </w:font>
  <w:font w:name="icon-cooperation">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RomanS">
    <w:altName w:val="Letter Gothic"/>
    <w:panose1 w:val="02000400000000000000"/>
    <w:charset w:val="00"/>
    <w:family w:val="auto"/>
    <w:pitch w:val="default"/>
    <w:sig w:usb0="00000000" w:usb1="00000000" w:usb2="00000000" w:usb3="00000000" w:csb0="000001FF" w:csb1="00000000"/>
  </w:font>
  <w:font w:name="Arial">
    <w:panose1 w:val="020B0604020202020204"/>
    <w:charset w:val="86"/>
    <w:family w:val="swiss"/>
    <w:pitch w:val="default"/>
    <w:sig w:usb0="E0002AFF" w:usb1="C0007843" w:usb2="00000009" w:usb3="00000000" w:csb0="400001FF" w:csb1="FFFF0000"/>
  </w:font>
  <w:font w:name="方正小标宋_GBK-WinCharSetFFFF-H">
    <w:altName w:val="宋体"/>
    <w:panose1 w:val="00000000000000000000"/>
    <w:charset w:val="86"/>
    <w:family w:val="auto"/>
    <w:pitch w:val="default"/>
    <w:sig w:usb0="00000000" w:usb1="00000000" w:usb2="00000000" w:usb3="00000000" w:csb0="00040000" w:csb1="00000000"/>
  </w:font>
  <w:font w:name="仿宋_GB2312-WinCharSetFFFF-H">
    <w:altName w:val="仿宋"/>
    <w:panose1 w:val="00000000000000000000"/>
    <w:charset w:val="86"/>
    <w:family w:val="auto"/>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_GBK">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微软雅黑"/>
    <w:panose1 w:val="03000509000000000000"/>
    <w:charset w:val="86"/>
    <w:family w:val="script"/>
    <w:pitch w:val="default"/>
    <w:sig w:usb0="00000000" w:usb1="00000000" w:usb2="00000010" w:usb3="00000000" w:csb0="00040000" w:csb1="00000000"/>
  </w:font>
  <w:font w:name="MS UI Gothic">
    <w:panose1 w:val="020B0600070205080204"/>
    <w:charset w:val="80"/>
    <w:family w:val="auto"/>
    <w:pitch w:val="default"/>
    <w:sig w:usb0="E00002FF" w:usb1="6AC7FDFB" w:usb2="00000012" w:usb3="00000000" w:csb0="4002009F" w:csb1="DFD70000"/>
  </w:font>
  <w:font w:name="方正姚体">
    <w:altName w:val="宋体"/>
    <w:panose1 w:val="0201060103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Letter Gothic">
    <w:panose1 w:val="020B0409020202030204"/>
    <w:charset w:val="00"/>
    <w:family w:val="auto"/>
    <w:pitch w:val="default"/>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543F9"/>
    <w:multiLevelType w:val="singleLevel"/>
    <w:tmpl w:val="640543F9"/>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1BA4"/>
    <w:rsid w:val="038F3EFF"/>
    <w:rsid w:val="05EC62C8"/>
    <w:rsid w:val="08075439"/>
    <w:rsid w:val="09AC3A9C"/>
    <w:rsid w:val="09C21CCC"/>
    <w:rsid w:val="0CAC1396"/>
    <w:rsid w:val="10936E19"/>
    <w:rsid w:val="14D421C7"/>
    <w:rsid w:val="15485378"/>
    <w:rsid w:val="15A00457"/>
    <w:rsid w:val="16F11180"/>
    <w:rsid w:val="18AF055F"/>
    <w:rsid w:val="1BC27463"/>
    <w:rsid w:val="1D024DFC"/>
    <w:rsid w:val="203F6352"/>
    <w:rsid w:val="2424631C"/>
    <w:rsid w:val="28DD7535"/>
    <w:rsid w:val="2A4929C0"/>
    <w:rsid w:val="2B1227DD"/>
    <w:rsid w:val="2D2C7B74"/>
    <w:rsid w:val="2D724D66"/>
    <w:rsid w:val="2D8D7C9C"/>
    <w:rsid w:val="2DC64C6A"/>
    <w:rsid w:val="2EBC29C4"/>
    <w:rsid w:val="31AE347F"/>
    <w:rsid w:val="32CD165C"/>
    <w:rsid w:val="34416B1F"/>
    <w:rsid w:val="39E44554"/>
    <w:rsid w:val="3D2F0EAB"/>
    <w:rsid w:val="3E4C4CEE"/>
    <w:rsid w:val="41C104B8"/>
    <w:rsid w:val="42D75E91"/>
    <w:rsid w:val="45474920"/>
    <w:rsid w:val="4D3E2113"/>
    <w:rsid w:val="4ECD0705"/>
    <w:rsid w:val="509F7A23"/>
    <w:rsid w:val="52671AFB"/>
    <w:rsid w:val="52786F2C"/>
    <w:rsid w:val="5F8134A0"/>
    <w:rsid w:val="6703068A"/>
    <w:rsid w:val="69AC1FAE"/>
    <w:rsid w:val="704B127E"/>
    <w:rsid w:val="759077BF"/>
    <w:rsid w:val="786E5381"/>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NormalCharacter"/>
    <w:link w:val="8"/>
    <w:qFormat/>
    <w:uiPriority w:val="0"/>
    <w:rPr>
      <w:rFonts w:ascii="Verdana" w:hAnsi="Verdana"/>
      <w:kern w:val="0"/>
      <w:sz w:val="20"/>
      <w:lang w:eastAsia="en-US"/>
    </w:rPr>
  </w:style>
  <w:style w:type="paragraph" w:customStyle="1" w:styleId="8">
    <w:name w:val="UserStyle_1"/>
    <w:basedOn w:val="1"/>
    <w:link w:val="7"/>
    <w:qFormat/>
    <w:uiPriority w:val="0"/>
    <w:pPr>
      <w:widowControl/>
      <w:spacing w:after="160" w:line="240" w:lineRule="exact"/>
      <w:jc w:val="left"/>
      <w:textAlignment w:val="baseline"/>
    </w:pPr>
    <w:rPr>
      <w:rFonts w:ascii="Verdana" w:hAnsi="Verdana"/>
      <w:kern w:val="0"/>
      <w:sz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2023-03-14T08:37:12Z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