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320" w:firstLineChars="100"/>
        <w:rPr>
          <w:rFonts w:hint="eastAsia" w:ascii="宋体" w:hAnsi="宋体" w:eastAsia="宋体" w:cs="宋体"/>
          <w:sz w:val="32"/>
          <w:szCs w:val="32"/>
        </w:rPr>
      </w:pPr>
      <w:r>
        <w:rPr>
          <w:rFonts w:hint="eastAsia" w:ascii="宋体" w:hAnsi="宋体" w:eastAsia="宋体" w:cs="宋体"/>
          <w:sz w:val="32"/>
          <w:szCs w:val="32"/>
        </w:rPr>
        <w:t>附件</w:t>
      </w:r>
      <w:r>
        <w:rPr>
          <w:rFonts w:hint="eastAsia" w:ascii="宋体" w:hAnsi="宋体" w:eastAsia="宋体" w:cs="宋体"/>
          <w:sz w:val="32"/>
          <w:szCs w:val="32"/>
          <w:lang w:val="en-US" w:eastAsia="zh-CN"/>
        </w:rPr>
        <w:t>3</w:t>
      </w:r>
    </w:p>
    <w:p>
      <w:pPr>
        <w:ind w:right="85"/>
        <w:rPr>
          <w:rFonts w:cs="Times New Roman"/>
          <w:b/>
          <w:bCs/>
          <w:sz w:val="40"/>
          <w:szCs w:val="40"/>
        </w:rPr>
      </w:pPr>
    </w:p>
    <w:p>
      <w:pPr>
        <w:ind w:right="85"/>
        <w:rPr>
          <w:rFonts w:cs="Times New Roman"/>
          <w:b/>
          <w:bCs/>
          <w:sz w:val="40"/>
          <w:szCs w:val="40"/>
        </w:rPr>
      </w:pPr>
    </w:p>
    <w:p>
      <w:pPr>
        <w:jc w:val="center"/>
        <w:rPr>
          <w:rFonts w:hint="eastAsia" w:ascii="方正小标宋简体" w:hAnsi="方正小标宋简体" w:eastAsia="方正小标宋简体" w:cs="方正小标宋简体"/>
          <w:sz w:val="52"/>
          <w:szCs w:val="52"/>
        </w:rPr>
      </w:pPr>
      <w:r>
        <w:rPr>
          <w:rFonts w:hint="eastAsia" w:ascii="方正小标宋简体" w:hAnsi="方正小标宋简体" w:eastAsia="方正小标宋简体" w:cs="方正小标宋简体"/>
          <w:sz w:val="52"/>
          <w:szCs w:val="52"/>
        </w:rPr>
        <w:t>贺州市集体建设用地和农用地基准价项目支出绩效自评报告</w:t>
      </w:r>
    </w:p>
    <w:p>
      <w:pPr>
        <w:rPr>
          <w:rFonts w:hint="eastAsia" w:hAnsi="宋体"/>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 xml:space="preserve">项目名称：贺州市集体建设用地和农用地基准价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主管部门：</w:t>
      </w:r>
      <w:r>
        <w:rPr>
          <w:rFonts w:hint="eastAsia" w:hAnsi="宋体" w:eastAsia="宋体" w:cs="宋体"/>
          <w:sz w:val="30"/>
          <w:szCs w:val="30"/>
          <w:lang w:eastAsia="zh-CN"/>
        </w:rPr>
        <w:t>贺州市自然资源局</w:t>
      </w:r>
      <w:r>
        <w:rPr>
          <w:rFonts w:hint="eastAsia" w:ascii="宋体" w:hAnsi="宋体" w:eastAsia="宋体" w:cs="宋体"/>
          <w:sz w:val="30"/>
          <w:szCs w:val="30"/>
        </w:rPr>
        <w:t xml:space="preserve">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实施单位：</w:t>
      </w:r>
      <w:r>
        <w:rPr>
          <w:rFonts w:hint="eastAsia" w:hAnsi="宋体" w:eastAsia="宋体" w:cs="宋体"/>
          <w:sz w:val="30"/>
          <w:szCs w:val="30"/>
          <w:lang w:eastAsia="zh-CN"/>
        </w:rPr>
        <w:t>贺州市自然资源局</w:t>
      </w:r>
      <w:r>
        <w:rPr>
          <w:rFonts w:hint="eastAsia" w:ascii="宋体" w:hAnsi="宋体" w:eastAsia="宋体" w:cs="宋体"/>
          <w:sz w:val="30"/>
          <w:szCs w:val="30"/>
        </w:rPr>
        <w:t xml:space="preserve">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评价类型：事前评价□    事中评价□    事后评价□</w:t>
      </w:r>
      <w:r>
        <w:rPr>
          <w:rFonts w:hint="default" w:ascii="Arial" w:hAnsi="Arial" w:eastAsia="宋体" w:cs="Arial"/>
          <w:sz w:val="30"/>
          <w:szCs w:val="30"/>
        </w:rPr>
        <w:t>√</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组织方式：部门（单位）绩效自评</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评价机构：项目单位评价组□</w:t>
      </w:r>
      <w:r>
        <w:rPr>
          <w:rFonts w:hint="default" w:ascii="Arial" w:hAnsi="Arial" w:eastAsia="宋体" w:cs="Arial"/>
          <w:sz w:val="30"/>
          <w:szCs w:val="30"/>
        </w:rPr>
        <w:t>√</w:t>
      </w:r>
      <w:r>
        <w:rPr>
          <w:rFonts w:hint="eastAsia" w:ascii="宋体" w:hAnsi="宋体" w:eastAsia="宋体" w:cs="宋体"/>
          <w:sz w:val="30"/>
          <w:szCs w:val="30"/>
        </w:rPr>
        <w:t xml:space="preserve">    中介机构□    专家组□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宋体" w:hAnsi="宋体" w:eastAsia="宋体" w:cs="宋体"/>
          <w:sz w:val="32"/>
          <w:szCs w:val="32"/>
        </w:rPr>
      </w:pPr>
      <w:r>
        <w:rPr>
          <w:rFonts w:hint="eastAsia" w:ascii="宋体" w:hAnsi="宋体" w:eastAsia="宋体" w:cs="宋体"/>
          <w:sz w:val="32"/>
          <w:szCs w:val="32"/>
        </w:rPr>
        <w:t>部门（单位）名称（盖章）</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宋体" w:hAnsi="宋体" w:eastAsia="宋体" w:cs="宋体"/>
          <w:sz w:val="32"/>
          <w:szCs w:val="32"/>
        </w:rPr>
      </w:pPr>
      <w:r>
        <w:rPr>
          <w:rFonts w:hint="eastAsia" w:hAnsi="宋体" w:eastAsia="宋体" w:cs="宋体"/>
          <w:sz w:val="32"/>
          <w:szCs w:val="32"/>
          <w:lang w:val="en-US" w:eastAsia="zh-CN"/>
        </w:rPr>
        <w:t>2023</w:t>
      </w:r>
      <w:r>
        <w:rPr>
          <w:rFonts w:hint="eastAsia" w:ascii="宋体" w:hAnsi="宋体" w:eastAsia="宋体" w:cs="宋体"/>
          <w:sz w:val="32"/>
          <w:szCs w:val="32"/>
        </w:rPr>
        <w:t>年</w:t>
      </w:r>
      <w:r>
        <w:rPr>
          <w:rFonts w:hint="eastAsia" w:hAnsi="宋体" w:eastAsia="宋体" w:cs="宋体"/>
          <w:sz w:val="32"/>
          <w:szCs w:val="32"/>
          <w:lang w:val="en-US" w:eastAsia="zh-CN"/>
        </w:rPr>
        <w:t>3</w:t>
      </w:r>
      <w:r>
        <w:rPr>
          <w:rFonts w:hint="eastAsia" w:ascii="宋体" w:hAnsi="宋体" w:eastAsia="宋体" w:cs="宋体"/>
          <w:sz w:val="32"/>
          <w:szCs w:val="32"/>
        </w:rPr>
        <w:t>月</w:t>
      </w:r>
      <w:r>
        <w:rPr>
          <w:rFonts w:hint="eastAsia" w:hAnsi="宋体" w:eastAsia="宋体" w:cs="宋体"/>
          <w:sz w:val="32"/>
          <w:szCs w:val="32"/>
          <w:lang w:val="en-US" w:eastAsia="zh-CN"/>
        </w:rPr>
        <w:t>1</w:t>
      </w:r>
      <w:r>
        <w:rPr>
          <w:rFonts w:hint="eastAsia" w:ascii="宋体" w:hAnsi="宋体" w:eastAsia="宋体" w:cs="宋体"/>
          <w:sz w:val="32"/>
          <w:szCs w:val="32"/>
        </w:rPr>
        <w:t>日</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eastAsia="zh-CN"/>
        </w:rPr>
        <w:t>项目</w:t>
      </w:r>
      <w:r>
        <w:rPr>
          <w:rFonts w:hint="eastAsia" w:ascii="方正小标宋简体" w:hAnsi="方正小标宋简体" w:eastAsia="方正小标宋简体" w:cs="方正小标宋简体"/>
          <w:sz w:val="44"/>
          <w:szCs w:val="44"/>
        </w:rPr>
        <w:t>支出绩效自评基础信息表</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tbl>
      <w:tblPr>
        <w:tblStyle w:val="6"/>
        <w:tblW w:w="10920" w:type="dxa"/>
        <w:jc w:val="center"/>
        <w:tblInd w:w="-590" w:type="dxa"/>
        <w:tblLayout w:type="fixed"/>
        <w:tblCellMar>
          <w:top w:w="0" w:type="dxa"/>
          <w:left w:w="108" w:type="dxa"/>
          <w:bottom w:w="0" w:type="dxa"/>
          <w:right w:w="108" w:type="dxa"/>
        </w:tblCellMar>
      </w:tblPr>
      <w:tblGrid>
        <w:gridCol w:w="315"/>
        <w:gridCol w:w="360"/>
        <w:gridCol w:w="510"/>
        <w:gridCol w:w="30"/>
        <w:gridCol w:w="615"/>
        <w:gridCol w:w="420"/>
        <w:gridCol w:w="578"/>
        <w:gridCol w:w="17"/>
        <w:gridCol w:w="368"/>
        <w:gridCol w:w="152"/>
        <w:gridCol w:w="310"/>
        <w:gridCol w:w="360"/>
        <w:gridCol w:w="141"/>
        <w:gridCol w:w="265"/>
        <w:gridCol w:w="698"/>
        <w:gridCol w:w="73"/>
        <w:gridCol w:w="303"/>
        <w:gridCol w:w="6"/>
        <w:gridCol w:w="533"/>
        <w:gridCol w:w="48"/>
        <w:gridCol w:w="378"/>
        <w:gridCol w:w="1"/>
        <w:gridCol w:w="269"/>
        <w:gridCol w:w="315"/>
        <w:gridCol w:w="600"/>
        <w:gridCol w:w="2"/>
        <w:gridCol w:w="361"/>
        <w:gridCol w:w="268"/>
        <w:gridCol w:w="444"/>
        <w:gridCol w:w="251"/>
        <w:gridCol w:w="115"/>
        <w:gridCol w:w="174"/>
        <w:gridCol w:w="674"/>
        <w:gridCol w:w="940"/>
        <w:gridCol w:w="26"/>
      </w:tblGrid>
      <w:tr>
        <w:tblPrEx>
          <w:tblLayout w:type="fixed"/>
          <w:tblCellMar>
            <w:top w:w="0" w:type="dxa"/>
            <w:left w:w="108" w:type="dxa"/>
            <w:bottom w:w="0" w:type="dxa"/>
            <w:right w:w="108" w:type="dxa"/>
          </w:tblCellMar>
        </w:tblPrEx>
        <w:trPr>
          <w:gridAfter w:val="1"/>
          <w:wAfter w:w="26" w:type="dxa"/>
          <w:trHeight w:val="397"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ascii="黑体" w:hAnsi="黑体" w:eastAsia="黑体" w:cs="Times New Roman"/>
                <w:sz w:val="18"/>
                <w:szCs w:val="18"/>
              </w:rPr>
            </w:pPr>
            <w:r>
              <w:rPr>
                <w:rFonts w:hint="default" w:ascii="Times New Roman" w:hAnsi="Times New Roman" w:eastAsia="黑体" w:cs="Times New Roman"/>
                <w:sz w:val="21"/>
                <w:szCs w:val="21"/>
                <w:lang w:val="en-US" w:eastAsia="zh-CN"/>
              </w:rPr>
              <w:t>1-1</w:t>
            </w:r>
            <w:r>
              <w:rPr>
                <w:rFonts w:hint="eastAsia" w:ascii="黑体" w:hAnsi="黑体" w:eastAsia="黑体" w:cs="黑体"/>
                <w:sz w:val="21"/>
                <w:szCs w:val="21"/>
                <w:lang w:val="en-US" w:eastAsia="zh-CN"/>
              </w:rPr>
              <w:t>：</w:t>
            </w:r>
            <w:r>
              <w:rPr>
                <w:rFonts w:hint="eastAsia" w:ascii="黑体" w:hAnsi="黑体" w:eastAsia="黑体" w:cs="黑体"/>
                <w:sz w:val="21"/>
                <w:szCs w:val="21"/>
                <w:lang w:eastAsia="zh-CN"/>
              </w:rPr>
              <w:t>项目基本概况</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185" w:type="dxa"/>
            <w:gridSpan w:val="3"/>
            <w:tcBorders>
              <w:top w:val="nil"/>
              <w:left w:val="single" w:color="auto" w:sz="8" w:space="0"/>
              <w:bottom w:val="nil"/>
              <w:right w:val="single" w:color="000000" w:sz="8"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项目</w:t>
            </w:r>
            <w:r>
              <w:rPr>
                <w:rFonts w:hint="eastAsia" w:ascii="宋体" w:hAnsi="宋体" w:eastAsia="宋体" w:cs="宋体"/>
                <w:sz w:val="18"/>
                <w:szCs w:val="18"/>
                <w:lang w:eastAsia="zh-CN"/>
              </w:rPr>
              <w:t>名称</w:t>
            </w:r>
          </w:p>
        </w:tc>
        <w:tc>
          <w:tcPr>
            <w:tcW w:w="9709" w:type="dxa"/>
            <w:gridSpan w:val="31"/>
            <w:tcBorders>
              <w:top w:val="nil"/>
              <w:left w:val="nil"/>
              <w:bottom w:val="nil"/>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30"/>
                <w:szCs w:val="30"/>
              </w:rPr>
              <w:t xml:space="preserve">贺州市集体建设用地和农用地基准价 </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项目</w:t>
            </w:r>
          </w:p>
          <w:p>
            <w:pPr>
              <w:jc w:val="center"/>
              <w:rPr>
                <w:rFonts w:hint="eastAsia" w:ascii="宋体" w:hAnsi="宋体" w:eastAsia="宋体" w:cs="宋体"/>
                <w:sz w:val="18"/>
                <w:szCs w:val="18"/>
                <w:lang w:eastAsia="zh-CN"/>
              </w:rPr>
            </w:pPr>
            <w:r>
              <w:rPr>
                <w:rFonts w:hint="eastAsia" w:ascii="宋体" w:hAnsi="宋体" w:eastAsia="宋体" w:cs="宋体"/>
                <w:sz w:val="18"/>
                <w:szCs w:val="18"/>
              </w:rPr>
              <w:t>负责人</w:t>
            </w:r>
          </w:p>
        </w:tc>
        <w:tc>
          <w:tcPr>
            <w:tcW w:w="4336" w:type="dxa"/>
            <w:gridSpan w:val="1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冯炎翠</w:t>
            </w:r>
          </w:p>
        </w:tc>
        <w:tc>
          <w:tcPr>
            <w:tcW w:w="960"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rPr>
              <w:t>联系电话</w:t>
            </w:r>
          </w:p>
        </w:tc>
        <w:tc>
          <w:tcPr>
            <w:tcW w:w="4413" w:type="dxa"/>
            <w:gridSpan w:val="1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cyan"/>
              </w:rPr>
            </w:pPr>
            <w:r>
              <w:rPr>
                <w:rFonts w:hint="eastAsia" w:ascii="宋体" w:hAnsi="宋体" w:eastAsia="宋体" w:cs="宋体"/>
                <w:sz w:val="18"/>
                <w:szCs w:val="18"/>
                <w:highlight w:val="cyan"/>
              </w:rPr>
              <w:t>5685506</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项目资金</w:t>
            </w:r>
          </w:p>
          <w:p>
            <w:pPr>
              <w:jc w:val="center"/>
              <w:rPr>
                <w:rFonts w:hint="eastAsia" w:ascii="宋体" w:hAnsi="宋体" w:eastAsia="宋体" w:cs="宋体"/>
                <w:sz w:val="18"/>
                <w:szCs w:val="18"/>
              </w:rPr>
            </w:pPr>
            <w:r>
              <w:rPr>
                <w:rFonts w:hint="eastAsia" w:ascii="宋体" w:hAnsi="宋体" w:eastAsia="宋体" w:cs="宋体"/>
                <w:sz w:val="18"/>
                <w:szCs w:val="18"/>
                <w:lang w:eastAsia="zh-CN"/>
              </w:rPr>
              <w:t>安排文号</w:t>
            </w:r>
          </w:p>
        </w:tc>
        <w:tc>
          <w:tcPr>
            <w:tcW w:w="4336" w:type="dxa"/>
            <w:gridSpan w:val="1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《自然资源部办公厅关于部署开展2019年度自然资源评价评估工作的通知》（自然资办发〔20</w:t>
            </w:r>
            <w:r>
              <w:rPr>
                <w:rFonts w:hint="eastAsia" w:ascii="宋体" w:hAnsi="宋体" w:eastAsia="宋体" w:cs="宋体"/>
                <w:sz w:val="18"/>
                <w:szCs w:val="18"/>
                <w:lang w:val="en-US" w:eastAsia="zh-CN"/>
              </w:rPr>
              <w:t>19</w:t>
            </w:r>
            <w:r>
              <w:rPr>
                <w:rFonts w:hint="eastAsia" w:ascii="宋体" w:hAnsi="宋体" w:eastAsia="宋体" w:cs="宋体"/>
                <w:sz w:val="18"/>
                <w:szCs w:val="18"/>
              </w:rPr>
              <w:t>〕69号）</w:t>
            </w:r>
          </w:p>
        </w:tc>
        <w:tc>
          <w:tcPr>
            <w:tcW w:w="960"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资金项目</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安排年度</w:t>
            </w:r>
          </w:p>
        </w:tc>
        <w:tc>
          <w:tcPr>
            <w:tcW w:w="4413" w:type="dxa"/>
            <w:gridSpan w:val="1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cyan"/>
                <w:lang w:val="en-US" w:eastAsia="zh-CN"/>
              </w:rPr>
            </w:pPr>
            <w:r>
              <w:rPr>
                <w:rFonts w:hint="eastAsia" w:ascii="宋体" w:hAnsi="宋体" w:eastAsia="宋体" w:cs="宋体"/>
                <w:sz w:val="18"/>
                <w:szCs w:val="18"/>
                <w:highlight w:val="cyan"/>
                <w:lang w:val="en-US" w:eastAsia="zh-CN"/>
              </w:rPr>
              <w:t>2022年</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项目类型</w:t>
            </w:r>
          </w:p>
        </w:tc>
        <w:tc>
          <w:tcPr>
            <w:tcW w:w="4336" w:type="dxa"/>
            <w:gridSpan w:val="15"/>
            <w:vMerge w:val="restart"/>
            <w:tcBorders>
              <w:top w:val="single" w:color="auto" w:sz="4" w:space="0"/>
              <w:left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1.基本建设类</w:t>
            </w:r>
            <w:r>
              <w:rPr>
                <w:rFonts w:hint="eastAsia" w:ascii="宋体" w:hAnsi="宋体" w:eastAsia="宋体" w:cs="宋体"/>
                <w:b w:val="0"/>
                <w:bCs w:val="0"/>
                <w:kern w:val="0"/>
                <w:sz w:val="18"/>
                <w:szCs w:val="18"/>
                <w:lang w:eastAsia="zh-CN"/>
              </w:rPr>
              <w:t>□</w:t>
            </w:r>
            <w:r>
              <w:rPr>
                <w:rFonts w:hint="eastAsia" w:ascii="宋体" w:hAnsi="宋体" w:eastAsia="宋体" w:cs="宋体"/>
                <w:b w:val="0"/>
                <w:bCs w:val="0"/>
                <w:kern w:val="0"/>
                <w:sz w:val="18"/>
                <w:szCs w:val="18"/>
                <w:lang w:val="en-US" w:eastAsia="zh-CN"/>
              </w:rPr>
              <w:t xml:space="preserve"> 其中：新建□ 扩建□ 改建□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2.行政事业类□ 其中：采购□ 修缮□ 奖励/补贴□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3.其他项目类□</w:t>
            </w:r>
            <w:r>
              <w:rPr>
                <w:rFonts w:hint="default" w:ascii="Arial" w:hAnsi="Arial" w:eastAsia="宋体" w:cs="Arial"/>
                <w:sz w:val="18"/>
                <w:szCs w:val="18"/>
                <w:lang w:val="en-US" w:eastAsia="zh-CN"/>
              </w:rPr>
              <w:t>√</w:t>
            </w:r>
          </w:p>
        </w:tc>
        <w:tc>
          <w:tcPr>
            <w:tcW w:w="960"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项目开</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始时间</w:t>
            </w:r>
          </w:p>
        </w:tc>
        <w:tc>
          <w:tcPr>
            <w:tcW w:w="1815" w:type="dxa"/>
            <w:gridSpan w:val="6"/>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2022年1月</w:t>
            </w:r>
          </w:p>
        </w:tc>
        <w:tc>
          <w:tcPr>
            <w:tcW w:w="810" w:type="dxa"/>
            <w:gridSpan w:val="3"/>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项目完成时间</w:t>
            </w:r>
          </w:p>
        </w:tc>
        <w:tc>
          <w:tcPr>
            <w:tcW w:w="1788"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2022年12月</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vMerge w:val="continue"/>
            <w:tcBorders>
              <w:left w:val="single" w:color="auto" w:sz="4" w:space="0"/>
              <w:bottom w:val="single" w:color="auto" w:sz="4" w:space="0"/>
              <w:right w:val="single" w:color="auto" w:sz="4" w:space="0"/>
            </w:tcBorders>
            <w:vAlign w:val="center"/>
          </w:tcPr>
          <w:p>
            <w:pPr>
              <w:jc w:val="center"/>
            </w:pPr>
          </w:p>
        </w:tc>
        <w:tc>
          <w:tcPr>
            <w:tcW w:w="4336" w:type="dxa"/>
            <w:gridSpan w:val="15"/>
            <w:vMerge w:val="continue"/>
            <w:tcBorders>
              <w:left w:val="nil"/>
              <w:bottom w:val="single" w:color="auto" w:sz="4" w:space="0"/>
              <w:right w:val="single" w:color="auto" w:sz="4" w:space="0"/>
            </w:tcBorders>
            <w:vAlign w:val="center"/>
          </w:tcPr>
          <w:p>
            <w:pPr>
              <w:jc w:val="center"/>
            </w:pPr>
          </w:p>
        </w:tc>
        <w:tc>
          <w:tcPr>
            <w:tcW w:w="960" w:type="dxa"/>
            <w:gridSpan w:val="4"/>
            <w:vMerge w:val="continue"/>
            <w:tcBorders>
              <w:left w:val="nil"/>
              <w:bottom w:val="single" w:color="auto" w:sz="4" w:space="0"/>
              <w:right w:val="single" w:color="auto" w:sz="4" w:space="0"/>
            </w:tcBorders>
            <w:vAlign w:val="center"/>
          </w:tcPr>
          <w:p>
            <w:pPr>
              <w:jc w:val="center"/>
            </w:pPr>
          </w:p>
        </w:tc>
        <w:tc>
          <w:tcPr>
            <w:tcW w:w="1815" w:type="dxa"/>
            <w:gridSpan w:val="6"/>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 xml:space="preserve">    年    月</w:t>
            </w:r>
          </w:p>
        </w:tc>
        <w:tc>
          <w:tcPr>
            <w:tcW w:w="810" w:type="dxa"/>
            <w:gridSpan w:val="3"/>
            <w:vMerge w:val="continue"/>
            <w:tcBorders>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none"/>
              </w:rPr>
            </w:pPr>
          </w:p>
        </w:tc>
        <w:tc>
          <w:tcPr>
            <w:tcW w:w="1788"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 xml:space="preserve">    年    月</w:t>
            </w:r>
          </w:p>
        </w:tc>
      </w:tr>
      <w:tr>
        <w:tblPrEx>
          <w:tblLayout w:type="fixed"/>
          <w:tblCellMar>
            <w:top w:w="0" w:type="dxa"/>
            <w:left w:w="108" w:type="dxa"/>
            <w:bottom w:w="0" w:type="dxa"/>
            <w:right w:w="108" w:type="dxa"/>
          </w:tblCellMar>
        </w:tblPrEx>
        <w:trPr>
          <w:gridAfter w:val="1"/>
          <w:wAfter w:w="26" w:type="dxa"/>
          <w:trHeight w:val="510" w:hRule="exac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资金项目</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安排年度</w:t>
            </w:r>
          </w:p>
          <w:p>
            <w:pPr>
              <w:jc w:val="center"/>
              <w:rPr>
                <w:rFonts w:hint="eastAsia" w:ascii="宋体" w:hAnsi="宋体" w:eastAsia="宋体" w:cs="宋体"/>
                <w:sz w:val="18"/>
                <w:szCs w:val="18"/>
                <w:highlight w:val="cyan"/>
              </w:rPr>
            </w:pPr>
          </w:p>
          <w:p>
            <w:pPr>
              <w:numPr>
                <w:ilvl w:val="0"/>
                <w:numId w:val="0"/>
              </w:numPr>
              <w:jc w:val="both"/>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 xml:space="preserve"> 2.专家评审立项的项目□</w:t>
            </w:r>
          </w:p>
          <w:p>
            <w:r>
              <w:rPr>
                <w:rFonts w:hint="eastAsia" w:ascii="宋体" w:hAnsi="宋体" w:eastAsia="宋体" w:cs="宋体"/>
                <w:sz w:val="18"/>
                <w:szCs w:val="18"/>
                <w:lang w:val="en-US" w:eastAsia="zh-CN"/>
              </w:rPr>
              <w:t>3.公开招标立项的项目□                               4.其他方式立项</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实际到位</w:t>
            </w:r>
          </w:p>
          <w:p>
            <w:pPr>
              <w:jc w:val="center"/>
              <w:rPr>
                <w:rFonts w:hint="eastAsia" w:ascii="宋体" w:hAnsi="宋体" w:eastAsia="宋体" w:cs="宋体"/>
                <w:sz w:val="18"/>
                <w:szCs w:val="18"/>
              </w:rPr>
            </w:pPr>
            <w:r>
              <w:rPr>
                <w:rFonts w:hint="eastAsia" w:ascii="宋体" w:hAnsi="宋体" w:eastAsia="宋体" w:cs="宋体"/>
                <w:sz w:val="18"/>
                <w:szCs w:val="18"/>
                <w:lang w:eastAsia="zh-CN"/>
              </w:rPr>
              <w:t>（到达项目单位）</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到位金额</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到位率（</w:t>
            </w:r>
            <w:r>
              <w:rPr>
                <w:rFonts w:hint="eastAsia" w:ascii="宋体" w:hAnsi="宋体" w:eastAsia="宋体" w:cs="宋体"/>
                <w:sz w:val="18"/>
                <w:szCs w:val="18"/>
                <w:lang w:val="en-US" w:eastAsia="zh-CN"/>
              </w:rPr>
              <w:t>%）</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到位时间</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项目（用款）单位个数</w:t>
            </w:r>
          </w:p>
        </w:tc>
        <w:tc>
          <w:tcPr>
            <w:tcW w:w="9709" w:type="dxa"/>
            <w:gridSpan w:val="31"/>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合计：</w:t>
            </w:r>
            <w:r>
              <w:rPr>
                <w:rFonts w:hint="eastAsia" w:ascii="宋体" w:hAnsi="宋体" w:eastAsia="宋体" w:cs="宋体"/>
                <w:sz w:val="18"/>
                <w:szCs w:val="18"/>
                <w:lang w:val="en-US" w:eastAsia="zh-CN"/>
              </w:rPr>
              <w:t xml:space="preserve">        个；  其中：市本级        个，县（区）        个。</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rPr>
            </w:pPr>
            <w:r>
              <w:rPr>
                <w:rFonts w:hint="default" w:ascii="Times New Roman" w:hAnsi="Times New Roman" w:eastAsia="黑体" w:cs="Times New Roman"/>
                <w:sz w:val="21"/>
                <w:szCs w:val="21"/>
                <w:lang w:eastAsia="zh-CN"/>
              </w:rPr>
              <w:t>1-</w:t>
            </w:r>
            <w:r>
              <w:rPr>
                <w:rFonts w:hint="default" w:ascii="Times New Roman" w:hAnsi="Times New Roman" w:eastAsia="黑体" w:cs="Times New Roman"/>
                <w:sz w:val="21"/>
                <w:szCs w:val="21"/>
                <w:lang w:val="en-US" w:eastAsia="zh-CN"/>
              </w:rPr>
              <w:t>2</w:t>
            </w:r>
            <w:r>
              <w:rPr>
                <w:rFonts w:hint="eastAsia" w:ascii="黑体" w:hAnsi="黑体" w:eastAsia="黑体" w:cs="黑体"/>
                <w:sz w:val="21"/>
                <w:szCs w:val="21"/>
                <w:lang w:eastAsia="zh-CN"/>
              </w:rPr>
              <w:t>：前期工作情况</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资金设立依据（文件）</w:t>
            </w:r>
          </w:p>
        </w:tc>
        <w:tc>
          <w:tcPr>
            <w:tcW w:w="9709" w:type="dxa"/>
            <w:gridSpan w:val="31"/>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《自然资源部办公厅关于部署开展2019年度自然资源评价评估工作的通知》（自然资办发【2019】69号）</w:t>
            </w:r>
          </w:p>
        </w:tc>
      </w:tr>
      <w:tr>
        <w:tblPrEx>
          <w:tblLayout w:type="fixed"/>
          <w:tblCellMar>
            <w:top w:w="0" w:type="dxa"/>
            <w:left w:w="108" w:type="dxa"/>
            <w:bottom w:w="0" w:type="dxa"/>
            <w:right w:w="108" w:type="dxa"/>
          </w:tblCellMar>
        </w:tblPrEx>
        <w:trPr>
          <w:gridAfter w:val="1"/>
          <w:wAfter w:w="26" w:type="dxa"/>
          <w:trHeight w:val="850" w:hRule="exac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立项方式</w:t>
            </w:r>
          </w:p>
        </w:tc>
        <w:tc>
          <w:tcPr>
            <w:tcW w:w="9709" w:type="dxa"/>
            <w:gridSpan w:val="31"/>
            <w:tcBorders>
              <w:top w:val="single" w:color="auto" w:sz="4" w:space="0"/>
              <w:left w:val="nil"/>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1.发改部门批准立项的项目部门审核立项的项目□         2.专家评审立项的项目□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 xml:space="preserve">3.公开招标立项的项目□                               4.其他方式立项的项目（注明具体方式）□_____________ </w:t>
            </w:r>
          </w:p>
        </w:tc>
      </w:tr>
      <w:tr>
        <w:tblPrEx>
          <w:tblLayout w:type="fixed"/>
          <w:tblCellMar>
            <w:top w:w="0" w:type="dxa"/>
            <w:left w:w="108" w:type="dxa"/>
            <w:bottom w:w="0" w:type="dxa"/>
            <w:right w:w="108" w:type="dxa"/>
          </w:tblCellMar>
        </w:tblPrEx>
        <w:trPr>
          <w:gridAfter w:val="1"/>
          <w:wAfter w:w="26" w:type="dxa"/>
          <w:trHeight w:val="454"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rPr>
            </w:pPr>
            <w:r>
              <w:rPr>
                <w:rFonts w:hint="default" w:ascii="Times New Roman" w:hAnsi="Times New Roman" w:eastAsia="黑体" w:cs="Times New Roman"/>
                <w:sz w:val="21"/>
                <w:szCs w:val="21"/>
              </w:rPr>
              <w:t>1-</w:t>
            </w:r>
            <w:r>
              <w:rPr>
                <w:rFonts w:hint="default" w:ascii="Times New Roman" w:hAnsi="Times New Roman" w:eastAsia="黑体" w:cs="Times New Roman"/>
                <w:sz w:val="21"/>
                <w:szCs w:val="21"/>
                <w:lang w:val="en-US" w:eastAsia="zh-CN"/>
              </w:rPr>
              <w:t>3</w:t>
            </w:r>
            <w:r>
              <w:rPr>
                <w:rFonts w:hint="eastAsia" w:ascii="黑体" w:hAnsi="黑体" w:eastAsia="黑体" w:cs="黑体"/>
                <w:sz w:val="21"/>
                <w:szCs w:val="21"/>
              </w:rPr>
              <w:t>：</w:t>
            </w:r>
            <w:r>
              <w:rPr>
                <w:rFonts w:hint="eastAsia" w:ascii="黑体" w:hAnsi="黑体" w:eastAsia="黑体" w:cs="黑体"/>
                <w:sz w:val="21"/>
                <w:szCs w:val="21"/>
                <w:lang w:eastAsia="zh-CN"/>
              </w:rPr>
              <w:t>实施过程</w:t>
            </w:r>
            <w:r>
              <w:rPr>
                <w:rFonts w:hint="eastAsia" w:ascii="黑体" w:hAnsi="黑体" w:eastAsia="黑体" w:cs="黑体"/>
                <w:sz w:val="21"/>
                <w:szCs w:val="21"/>
              </w:rPr>
              <w:t>情况</w:t>
            </w:r>
            <w:r>
              <w:rPr>
                <w:rFonts w:hint="eastAsia" w:ascii="黑体" w:hAnsi="黑体" w:eastAsia="黑体" w:cs="黑体"/>
                <w:sz w:val="21"/>
                <w:szCs w:val="21"/>
                <w:lang w:eastAsia="zh-CN"/>
              </w:rPr>
              <w:t>（单位：万元）</w:t>
            </w:r>
          </w:p>
        </w:tc>
      </w:tr>
      <w:tr>
        <w:tblPrEx>
          <w:tblLayout w:type="fixed"/>
          <w:tblCellMar>
            <w:top w:w="0" w:type="dxa"/>
            <w:left w:w="108" w:type="dxa"/>
            <w:bottom w:w="0" w:type="dxa"/>
            <w:right w:w="108" w:type="dxa"/>
          </w:tblCellMar>
        </w:tblPrEx>
        <w:trPr>
          <w:trHeight w:val="397" w:hRule="atLeast"/>
          <w:jc w:val="center"/>
        </w:trPr>
        <w:tc>
          <w:tcPr>
            <w:tcW w:w="315" w:type="dxa"/>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资金管理</w:t>
            </w:r>
          </w:p>
        </w:tc>
        <w:tc>
          <w:tcPr>
            <w:tcW w:w="360" w:type="dxa"/>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资金到位支付情况</w:t>
            </w:r>
          </w:p>
        </w:tc>
        <w:tc>
          <w:tcPr>
            <w:tcW w:w="1575"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资金来源</w:t>
            </w:r>
          </w:p>
        </w:tc>
        <w:tc>
          <w:tcPr>
            <w:tcW w:w="1926" w:type="dxa"/>
            <w:gridSpan w:val="7"/>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lang w:eastAsia="zh-CN"/>
              </w:rPr>
              <w:t>以前资金情况</w:t>
            </w:r>
          </w:p>
        </w:tc>
        <w:tc>
          <w:tcPr>
            <w:tcW w:w="6744" w:type="dxa"/>
            <w:gridSpan w:val="2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本次评价资金情况</w:t>
            </w:r>
          </w:p>
        </w:tc>
      </w:tr>
      <w:tr>
        <w:tblPrEx>
          <w:tblLayout w:type="fixed"/>
          <w:tblCellMar>
            <w:top w:w="0" w:type="dxa"/>
            <w:left w:w="108" w:type="dxa"/>
            <w:bottom w:w="0" w:type="dxa"/>
            <w:right w:w="108" w:type="dxa"/>
          </w:tblCellMar>
        </w:tblPrEx>
        <w:trPr>
          <w:trHeight w:val="567"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963" w:type="dxa"/>
            <w:gridSpan w:val="3"/>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至本次评价前累计支出金额</w:t>
            </w:r>
          </w:p>
        </w:tc>
        <w:tc>
          <w:tcPr>
            <w:tcW w:w="963"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结余金额</w:t>
            </w:r>
          </w:p>
        </w:tc>
        <w:tc>
          <w:tcPr>
            <w:tcW w:w="963" w:type="dxa"/>
            <w:gridSpan w:val="2"/>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预算（计划）安排</w:t>
            </w:r>
          </w:p>
        </w:tc>
        <w:tc>
          <w:tcPr>
            <w:tcW w:w="2889" w:type="dxa"/>
            <w:gridSpan w:val="1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实际到位</w:t>
            </w:r>
          </w:p>
          <w:p>
            <w:pPr>
              <w:jc w:val="center"/>
              <w:rPr>
                <w:rFonts w:hint="eastAsia" w:ascii="宋体" w:hAnsi="宋体" w:eastAsia="宋体" w:cs="宋体"/>
                <w:sz w:val="18"/>
                <w:szCs w:val="18"/>
              </w:rPr>
            </w:pPr>
            <w:r>
              <w:rPr>
                <w:rFonts w:hint="eastAsia" w:ascii="宋体" w:hAnsi="宋体" w:eastAsia="宋体" w:cs="宋体"/>
                <w:sz w:val="18"/>
                <w:szCs w:val="18"/>
                <w:lang w:eastAsia="zh-CN"/>
              </w:rPr>
              <w:t>（到达项目单位）</w:t>
            </w:r>
          </w:p>
        </w:tc>
        <w:tc>
          <w:tcPr>
            <w:tcW w:w="1926" w:type="dxa"/>
            <w:gridSpan w:val="6"/>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实际支出</w:t>
            </w:r>
          </w:p>
          <w:p>
            <w:pPr>
              <w:jc w:val="center"/>
              <w:rPr>
                <w:rFonts w:hint="eastAsia" w:ascii="宋体" w:hAnsi="宋体" w:eastAsia="宋体" w:cs="宋体"/>
                <w:sz w:val="18"/>
                <w:szCs w:val="18"/>
              </w:rPr>
            </w:pPr>
            <w:r>
              <w:rPr>
                <w:rFonts w:hint="eastAsia" w:ascii="宋体" w:hAnsi="宋体" w:eastAsia="宋体" w:cs="宋体"/>
                <w:sz w:val="18"/>
                <w:szCs w:val="18"/>
                <w:lang w:eastAsia="zh-CN"/>
              </w:rPr>
              <w:t>（项目单位支出）</w:t>
            </w:r>
          </w:p>
        </w:tc>
        <w:tc>
          <w:tcPr>
            <w:tcW w:w="966" w:type="dxa"/>
            <w:gridSpan w:val="2"/>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结余金额</w:t>
            </w:r>
          </w:p>
        </w:tc>
      </w:tr>
      <w:tr>
        <w:tblPrEx>
          <w:tblLayout w:type="fixed"/>
          <w:tblCellMar>
            <w:top w:w="0" w:type="dxa"/>
            <w:left w:w="108" w:type="dxa"/>
            <w:bottom w:w="0" w:type="dxa"/>
            <w:right w:w="108" w:type="dxa"/>
          </w:tblCellMar>
        </w:tblPrEx>
        <w:trPr>
          <w:trHeight w:val="567"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到位金额</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到位率（</w:t>
            </w:r>
            <w:r>
              <w:rPr>
                <w:rFonts w:hint="eastAsia" w:ascii="宋体" w:hAnsi="宋体" w:eastAsia="宋体" w:cs="宋体"/>
                <w:sz w:val="18"/>
                <w:szCs w:val="18"/>
                <w:lang w:val="en-US" w:eastAsia="zh-CN"/>
              </w:rPr>
              <w:t>%）</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到位时间</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支出金额</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支出率（</w:t>
            </w:r>
            <w:r>
              <w:rPr>
                <w:rFonts w:hint="eastAsia" w:ascii="宋体" w:hAnsi="宋体" w:eastAsia="宋体" w:cs="宋体"/>
                <w:sz w:val="18"/>
                <w:szCs w:val="18"/>
                <w:lang w:val="en-US" w:eastAsia="zh-CN"/>
              </w:rPr>
              <w:t>%）</w:t>
            </w:r>
          </w:p>
        </w:tc>
        <w:tc>
          <w:tcPr>
            <w:tcW w:w="966" w:type="dxa"/>
            <w:gridSpan w:val="2"/>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合计</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中央财政资金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自治区财政资金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市财政资金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112.1</w:t>
            </w: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16.95</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15.12</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2022年</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lang w:val="en-US" w:eastAsia="zh-CN"/>
              </w:rPr>
              <w:t>16.95</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lang w:val="en-US" w:eastAsia="zh-CN"/>
              </w:rPr>
              <w:t>15.12</w:t>
            </w: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县区财政资金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其他资金小计</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①</w:t>
            </w:r>
            <w:r>
              <w:rPr>
                <w:rFonts w:hint="eastAsia" w:ascii="宋体" w:hAnsi="宋体" w:eastAsia="宋体" w:cs="宋体"/>
                <w:sz w:val="18"/>
                <w:szCs w:val="18"/>
                <w:lang w:eastAsia="zh-CN"/>
              </w:rPr>
              <w:t>银行贷款</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②</w:t>
            </w:r>
            <w:r>
              <w:rPr>
                <w:rFonts w:hint="eastAsia" w:ascii="宋体" w:hAnsi="宋体" w:eastAsia="宋体" w:cs="宋体"/>
                <w:sz w:val="18"/>
                <w:szCs w:val="18"/>
                <w:lang w:eastAsia="zh-CN"/>
              </w:rPr>
              <w:t>单位自筹</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　</w:t>
            </w: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③</w:t>
            </w:r>
            <w:r>
              <w:rPr>
                <w:rFonts w:hint="eastAsia" w:ascii="宋体" w:hAnsi="宋体" w:eastAsia="宋体" w:cs="宋体"/>
                <w:sz w:val="18"/>
                <w:szCs w:val="18"/>
                <w:lang w:eastAsia="zh-CN"/>
              </w:rPr>
              <w:t>其他</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gridAfter w:val="1"/>
          <w:wAfter w:w="26" w:type="dxa"/>
          <w:trHeight w:val="567" w:hRule="atLeast"/>
          <w:jc w:val="center"/>
        </w:trPr>
        <w:tc>
          <w:tcPr>
            <w:tcW w:w="315"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资金管理</w:t>
            </w:r>
          </w:p>
        </w:tc>
        <w:tc>
          <w:tcPr>
            <w:tcW w:w="360"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财务合规性</w:t>
            </w:r>
          </w:p>
        </w:tc>
        <w:tc>
          <w:tcPr>
            <w:tcW w:w="3000" w:type="dxa"/>
            <w:gridSpan w:val="9"/>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资金实际支出明细内容</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（至主要末级经济科目）</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项目预算</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支出</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项目实际</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支出</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资金支出依据（相关的资金管理办法、</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批复文件、流水账号等）</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000" w:type="dxa"/>
            <w:gridSpan w:val="9"/>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合计</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1</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贺州市集体建设用地和农用地基准价评估项目</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6.95</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6.95</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贺财建函〔2022〕30号</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2</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 xml:space="preserve"> 贺州市集体建设用地和农用地基准价</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10</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10</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贺财预〔2022〕1号</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3</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4</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5</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5"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项目管理</w:t>
            </w:r>
          </w:p>
        </w:tc>
        <w:tc>
          <w:tcPr>
            <w:tcW w:w="360"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实施程序</w:t>
            </w:r>
          </w:p>
        </w:tc>
        <w:tc>
          <w:tcPr>
            <w:tcW w:w="540" w:type="dxa"/>
            <w:gridSpan w:val="2"/>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调整情况</w:t>
            </w:r>
          </w:p>
        </w:tc>
        <w:tc>
          <w:tcPr>
            <w:tcW w:w="1613" w:type="dxa"/>
            <w:gridSpan w:val="3"/>
            <w:tcBorders>
              <w:top w:val="single" w:color="auto" w:sz="4" w:space="0"/>
              <w:left w:val="single" w:color="auto" w:sz="4" w:space="0"/>
              <w:bottom w:val="single" w:color="auto" w:sz="4" w:space="0"/>
              <w:right w:val="single" w:color="auto" w:sz="4" w:space="0"/>
            </w:tcBorders>
            <w:vAlign w:val="center"/>
          </w:tcPr>
          <w:p>
            <w:pPr>
              <w:numPr>
                <w:ilvl w:val="0"/>
                <w:numId w:val="0"/>
              </w:numPr>
              <w:jc w:val="center"/>
              <w:rPr>
                <w:rFonts w:hint="eastAsia" w:ascii="宋体" w:hAnsi="宋体" w:eastAsia="宋体" w:cs="宋体"/>
                <w:sz w:val="18"/>
                <w:szCs w:val="18"/>
                <w:lang w:val="en-US" w:eastAsia="zh-CN"/>
              </w:rPr>
            </w:pPr>
            <w:r>
              <w:rPr>
                <w:rFonts w:hint="default" w:ascii="Times New Roman" w:hAnsi="Times New Roman" w:eastAsia="宋体" w:cs="Times New Roman"/>
                <w:sz w:val="18"/>
                <w:szCs w:val="18"/>
                <w:lang w:val="en-US" w:eastAsia="zh-CN"/>
              </w:rPr>
              <w:t>1</w:t>
            </w:r>
            <w:r>
              <w:rPr>
                <w:rFonts w:hint="eastAsia" w:ascii="宋体" w:hAnsi="宋体" w:eastAsia="宋体" w:cs="宋体"/>
                <w:sz w:val="18"/>
                <w:szCs w:val="18"/>
                <w:lang w:val="en-US" w:eastAsia="zh-CN"/>
              </w:rPr>
              <w:t>.预算变动</w:t>
            </w:r>
          </w:p>
          <w:p>
            <w:pPr>
              <w:numPr>
                <w:ilvl w:val="0"/>
                <w:numId w:val="0"/>
              </w:num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（增减变动）</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default" w:ascii="Times New Roman" w:hAnsi="Times New Roman" w:eastAsia="宋体" w:cs="Times New Roman"/>
                <w:sz w:val="18"/>
                <w:szCs w:val="18"/>
                <w:lang w:val="en-US" w:eastAsia="zh-CN"/>
              </w:rPr>
              <w:t>2</w:t>
            </w:r>
            <w:r>
              <w:rPr>
                <w:rFonts w:hint="eastAsia" w:ascii="宋体" w:hAnsi="宋体" w:eastAsia="宋体" w:cs="宋体"/>
                <w:sz w:val="18"/>
                <w:szCs w:val="18"/>
                <w:lang w:val="en-US" w:eastAsia="zh-CN"/>
              </w:rPr>
              <w:t>.支出内容调整（包括设计变动而来的调整）</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default" w:ascii="Times New Roman" w:hAnsi="Times New Roman" w:eastAsia="宋体" w:cs="Times New Roman"/>
                <w:sz w:val="18"/>
                <w:szCs w:val="18"/>
                <w:lang w:val="en-US" w:eastAsia="zh-CN"/>
              </w:rPr>
              <w:t>3</w:t>
            </w:r>
            <w:r>
              <w:rPr>
                <w:rFonts w:hint="eastAsia" w:ascii="宋体" w:hAnsi="宋体" w:eastAsia="宋体" w:cs="宋体"/>
                <w:sz w:val="18"/>
                <w:szCs w:val="18"/>
                <w:lang w:val="en-US" w:eastAsia="zh-CN"/>
              </w:rPr>
              <w:t>.设计方案调整</w:t>
            </w:r>
          </w:p>
        </w:tc>
        <w:tc>
          <w:tcPr>
            <w:tcW w:w="1614" w:type="dxa"/>
            <w:gridSpan w:val="2"/>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有调整的项目（用款单位数量</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c>
          <w:tcPr>
            <w:tcW w:w="1613"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其中按要求办理报批手续的项目（用款）单位数量</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c>
          <w:tcPr>
            <w:tcW w:w="1613"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实际办理</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的项目数</w:t>
            </w:r>
          </w:p>
        </w:tc>
        <w:tc>
          <w:tcPr>
            <w:tcW w:w="1614" w:type="dxa"/>
            <w:gridSpan w:val="2"/>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调整内容</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调整原因及</w:t>
            </w:r>
          </w:p>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批复文件</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未办理批复的</w:t>
            </w:r>
          </w:p>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项目及原因</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验收情况</w:t>
            </w:r>
          </w:p>
        </w:tc>
        <w:tc>
          <w:tcPr>
            <w:tcW w:w="61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时间</w:t>
            </w:r>
          </w:p>
        </w:tc>
        <w:tc>
          <w:tcPr>
            <w:tcW w:w="1535"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p>
        </w:tc>
        <w:tc>
          <w:tcPr>
            <w:tcW w:w="67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单位</w:t>
            </w:r>
          </w:p>
        </w:tc>
        <w:tc>
          <w:tcPr>
            <w:tcW w:w="1480"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p>
        </w:tc>
        <w:tc>
          <w:tcPr>
            <w:tcW w:w="965"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办理验收手续项目</w:t>
            </w:r>
          </w:p>
        </w:tc>
        <w:tc>
          <w:tcPr>
            <w:tcW w:w="1185" w:type="dxa"/>
            <w:gridSpan w:val="4"/>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c>
          <w:tcPr>
            <w:tcW w:w="1075"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验收程序</w:t>
            </w:r>
          </w:p>
        </w:tc>
        <w:tc>
          <w:tcPr>
            <w:tcW w:w="2154"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p>
        </w:tc>
        <w:tc>
          <w:tcPr>
            <w:tcW w:w="540" w:type="dxa"/>
            <w:gridSpan w:val="2"/>
            <w:vMerge w:val="continue"/>
            <w:tcBorders>
              <w:left w:val="single" w:color="auto" w:sz="4" w:space="0"/>
              <w:bottom w:val="single" w:color="auto" w:sz="4" w:space="0"/>
              <w:right w:val="single" w:color="auto" w:sz="4" w:space="0"/>
            </w:tcBorders>
            <w:vAlign w:val="center"/>
          </w:tcPr>
          <w:p>
            <w:pPr>
              <w:jc w:val="center"/>
              <w:rPr>
                <w:rFonts w:hint="eastAsia" w:ascii="黑体" w:hAnsi="黑体" w:eastAsia="黑体" w:cs="黑体"/>
                <w:sz w:val="21"/>
                <w:szCs w:val="21"/>
                <w:lang w:val="en-US" w:eastAsia="zh-CN"/>
              </w:rPr>
            </w:pPr>
          </w:p>
        </w:tc>
        <w:tc>
          <w:tcPr>
            <w:tcW w:w="2150"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项目已完成未</w:t>
            </w:r>
          </w:p>
          <w:p>
            <w:pPr>
              <w:jc w:val="center"/>
              <w:rPr>
                <w:rFonts w:hint="eastAsia" w:ascii="黑体" w:hAnsi="黑体" w:eastAsia="黑体" w:cs="黑体"/>
                <w:sz w:val="21"/>
                <w:szCs w:val="21"/>
                <w:lang w:val="en-US" w:eastAsia="zh-CN"/>
              </w:rPr>
            </w:pPr>
            <w:r>
              <w:rPr>
                <w:rFonts w:hint="eastAsia" w:ascii="宋体" w:hAnsi="宋体" w:eastAsia="宋体" w:cs="宋体"/>
                <w:sz w:val="18"/>
                <w:szCs w:val="18"/>
                <w:lang w:val="en-US" w:eastAsia="zh-CN"/>
              </w:rPr>
              <w:t>办理验收的说明</w:t>
            </w:r>
          </w:p>
        </w:tc>
        <w:tc>
          <w:tcPr>
            <w:tcW w:w="7529" w:type="dxa"/>
            <w:gridSpan w:val="24"/>
            <w:tcBorders>
              <w:top w:val="single" w:color="auto" w:sz="4" w:space="0"/>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p>
        </w:tc>
      </w:tr>
      <w:tr>
        <w:tblPrEx>
          <w:tblLayout w:type="fixed"/>
          <w:tblCellMar>
            <w:top w:w="0" w:type="dxa"/>
            <w:left w:w="108" w:type="dxa"/>
            <w:bottom w:w="0" w:type="dxa"/>
            <w:right w:w="108" w:type="dxa"/>
          </w:tblCellMar>
        </w:tblPrEx>
        <w:trPr>
          <w:gridAfter w:val="1"/>
          <w:wAfter w:w="26" w:type="dxa"/>
          <w:trHeight w:val="454"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黑体" w:hAnsi="黑体" w:eastAsia="黑体" w:cs="黑体"/>
                <w:sz w:val="18"/>
                <w:szCs w:val="18"/>
                <w:lang w:eastAsia="zh-CN"/>
              </w:rPr>
            </w:pPr>
            <w:r>
              <w:rPr>
                <w:rFonts w:hint="default" w:ascii="Times New Roman" w:hAnsi="Times New Roman" w:eastAsia="黑体" w:cs="Times New Roman"/>
                <w:sz w:val="21"/>
                <w:szCs w:val="21"/>
                <w:lang w:val="en-US" w:eastAsia="zh-CN"/>
              </w:rPr>
              <w:t>1-4</w:t>
            </w:r>
            <w:r>
              <w:rPr>
                <w:rFonts w:hint="eastAsia" w:ascii="黑体" w:hAnsi="黑体" w:eastAsia="黑体" w:cs="黑体"/>
                <w:sz w:val="21"/>
                <w:szCs w:val="21"/>
                <w:lang w:val="en-US" w:eastAsia="zh-CN"/>
              </w:rPr>
              <w:t>：</w:t>
            </w:r>
            <w:r>
              <w:rPr>
                <w:rFonts w:hint="eastAsia" w:ascii="黑体" w:hAnsi="黑体" w:eastAsia="黑体" w:cs="黑体"/>
                <w:sz w:val="21"/>
                <w:szCs w:val="21"/>
                <w:lang w:eastAsia="zh-CN"/>
              </w:rPr>
              <w:t>评价人员（最少</w:t>
            </w:r>
            <w:r>
              <w:rPr>
                <w:rFonts w:hint="default" w:ascii="Times New Roman" w:hAnsi="Times New Roman" w:eastAsia="黑体" w:cs="Times New Roman"/>
                <w:sz w:val="21"/>
                <w:szCs w:val="21"/>
                <w:lang w:eastAsia="zh-CN"/>
              </w:rPr>
              <w:t>3</w:t>
            </w:r>
            <w:r>
              <w:rPr>
                <w:rFonts w:hint="eastAsia" w:ascii="黑体" w:hAnsi="黑体" w:eastAsia="黑体" w:cs="黑体"/>
                <w:sz w:val="21"/>
                <w:szCs w:val="21"/>
                <w:lang w:eastAsia="zh-CN"/>
              </w:rPr>
              <w:t>位）</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姓名：冯炎翠</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单位和职务</w:t>
            </w:r>
            <w:r>
              <w:rPr>
                <w:rFonts w:hint="eastAsia" w:ascii="宋体" w:hAnsi="宋体" w:eastAsia="宋体" w:cs="宋体"/>
                <w:b w:val="0"/>
                <w:bCs w:val="0"/>
                <w:sz w:val="18"/>
                <w:szCs w:val="18"/>
                <w:lang w:eastAsia="zh-CN"/>
              </w:rPr>
              <w:t>：自然资源开发利用科</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姓名：陈序裕</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单位和职务</w:t>
            </w:r>
            <w:r>
              <w:rPr>
                <w:rFonts w:hint="eastAsia" w:ascii="宋体" w:hAnsi="宋体" w:eastAsia="宋体" w:cs="宋体"/>
                <w:b w:val="0"/>
                <w:bCs w:val="0"/>
                <w:sz w:val="18"/>
                <w:szCs w:val="18"/>
                <w:lang w:eastAsia="zh-CN"/>
              </w:rPr>
              <w:t>：自然资源开发利用科</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姓名：黄梅梅</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单位和职务</w:t>
            </w:r>
            <w:r>
              <w:rPr>
                <w:rFonts w:hint="eastAsia" w:ascii="宋体" w:hAnsi="宋体" w:eastAsia="宋体" w:cs="宋体"/>
                <w:b w:val="0"/>
                <w:bCs w:val="0"/>
                <w:sz w:val="18"/>
                <w:szCs w:val="18"/>
                <w:lang w:eastAsia="zh-CN"/>
              </w:rPr>
              <w:t>：自然资源开发利用科</w:t>
            </w:r>
          </w:p>
        </w:tc>
      </w:tr>
    </w:tbl>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right="0" w:rightChars="0" w:firstLine="640" w:firstLineChars="200"/>
        <w:jc w:val="both"/>
        <w:textAlignment w:val="auto"/>
        <w:outlineLvl w:val="9"/>
        <w:rPr>
          <w:rFonts w:hint="eastAsia" w:ascii="黑体" w:hAnsi="黑体" w:eastAsia="黑体" w:cs="黑体"/>
          <w:sz w:val="32"/>
          <w:szCs w:val="32"/>
          <w:lang w:eastAsia="zh-CN"/>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lang w:eastAsia="zh-CN"/>
        </w:rPr>
        <w:t>一、</w:t>
      </w:r>
      <w:r>
        <w:rPr>
          <w:rFonts w:hint="eastAsia" w:ascii="黑体" w:hAnsi="黑体" w:eastAsia="黑体" w:cs="黑体"/>
          <w:sz w:val="32"/>
          <w:szCs w:val="32"/>
        </w:rPr>
        <w:t>项目基本情况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（一）项目概况</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1.立项背景依据</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根据《自然资源部办公厅关于部署开展2019年度自然资源评价评估工作的通知》（自然资办发〔20</w:t>
      </w:r>
      <w:r>
        <w:rPr>
          <w:rFonts w:hint="eastAsia" w:ascii="仿宋_GB2312" w:hAnsi="仿宋_GB2312" w:eastAsia="仿宋_GB2312" w:cs="仿宋_GB2312"/>
          <w:sz w:val="32"/>
          <w:szCs w:val="32"/>
          <w:lang w:val="en-US" w:eastAsia="zh-CN"/>
        </w:rPr>
        <w:t>19</w:t>
      </w:r>
      <w:r>
        <w:rPr>
          <w:rFonts w:hint="eastAsia" w:ascii="仿宋_GB2312" w:hAnsi="仿宋_GB2312" w:eastAsia="仿宋_GB2312" w:cs="仿宋_GB2312"/>
          <w:sz w:val="32"/>
          <w:szCs w:val="32"/>
        </w:rPr>
        <w:t>〕69号）文件精神，要求在2020年12月31日前完成本行政区集体建设用地和农用地土地定级与基准地价评估。我局已通过公开招投标方式选定广西国泰房地产土地资产评估有限公司承担贺州市市本级集体建设用地和农用地土地定级与基准地价评估工作，总金额为人民币壹佰壹拾叁万元（¥1130000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按2020年2月28日市领导批示，该费用市级承担40%，八步区40%，平桂区20%。2020年11月分广西国泰房地产土地资产评估有限公司提交了初步成果，按合同约定支付了人民币壹拾陆万玖仟伍佰元（¥169500），余人民币玖拾陆点零伍万元（¥960500）未支付。</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（二）项目资金管理使用情况</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按2020年2月28日市领导批示，该费用市级承担40%，八步区40%，平桂区20%。2020年11月分广西国泰房地产土地资产评估有限公司提交了初步成果，按合同约定支付了人民币壹拾陆万玖仟伍佰元（¥169500），余人民币玖拾陆点零伍万元（¥960500）未支付。</w:t>
      </w:r>
      <w:r>
        <w:rPr>
          <w:rFonts w:hint="eastAsia" w:ascii="仿宋_GB2312" w:hAnsi="仿宋_GB2312" w:eastAsia="仿宋_GB2312" w:cs="仿宋_GB2312"/>
          <w:sz w:val="32"/>
          <w:szCs w:val="32"/>
          <w:lang w:eastAsia="zh-CN"/>
        </w:rPr>
        <w:t>该项目年初预算安排</w:t>
      </w:r>
      <w:r>
        <w:rPr>
          <w:rFonts w:hint="eastAsia" w:ascii="仿宋_GB2312" w:hAnsi="仿宋_GB2312" w:eastAsia="仿宋_GB2312" w:cs="仿宋_GB2312"/>
          <w:sz w:val="32"/>
          <w:szCs w:val="32"/>
          <w:lang w:val="en-US" w:eastAsia="zh-CN"/>
        </w:rPr>
        <w:t>56.05万元，调整预算后预算112.1万元，全年支付16.95万元，预算执行率15.12%。</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lang w:eastAsia="zh-CN"/>
        </w:rPr>
      </w:pPr>
      <w:r>
        <w:rPr>
          <w:rFonts w:hint="eastAsia" w:ascii="楷体_GB2312" w:hAnsi="楷体_GB2312" w:eastAsia="楷体_GB2312" w:cs="楷体_GB2312"/>
          <w:b/>
          <w:bCs/>
          <w:sz w:val="32"/>
          <w:szCs w:val="32"/>
        </w:rPr>
        <w:t>（三）</w:t>
      </w:r>
      <w:r>
        <w:rPr>
          <w:rFonts w:hint="eastAsia" w:ascii="楷体_GB2312" w:hAnsi="楷体_GB2312" w:eastAsia="楷体_GB2312" w:cs="楷体_GB2312"/>
          <w:b/>
          <w:bCs/>
          <w:sz w:val="32"/>
          <w:szCs w:val="32"/>
          <w:lang w:eastAsia="zh-CN"/>
        </w:rPr>
        <w:t>项目组织管理情况</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1.项目组织情况</w:t>
      </w:r>
      <w:r>
        <w:rPr>
          <w:rFonts w:hint="eastAsia" w:ascii="仿宋_GB2312" w:hAnsi="仿宋_GB2312" w:eastAsia="仿宋_GB2312" w:cs="仿宋_GB2312"/>
          <w:sz w:val="32"/>
          <w:szCs w:val="32"/>
        </w:rPr>
        <w:t>根据《自然资源部办公厅关于部署开展2019年度自然资源评价评估工作的通知》（自然资办发〔20</w:t>
      </w:r>
      <w:r>
        <w:rPr>
          <w:rFonts w:hint="eastAsia" w:ascii="仿宋_GB2312" w:hAnsi="仿宋_GB2312" w:eastAsia="仿宋_GB2312" w:cs="仿宋_GB2312"/>
          <w:sz w:val="32"/>
          <w:szCs w:val="32"/>
          <w:lang w:val="en-US" w:eastAsia="zh-CN"/>
        </w:rPr>
        <w:t>19</w:t>
      </w:r>
      <w:r>
        <w:rPr>
          <w:rFonts w:hint="eastAsia" w:ascii="仿宋_GB2312" w:hAnsi="仿宋_GB2312" w:eastAsia="仿宋_GB2312" w:cs="仿宋_GB2312"/>
          <w:sz w:val="32"/>
          <w:szCs w:val="32"/>
        </w:rPr>
        <w:t>〕69号）文件精神，要求在2020年12月31日前完成本行政区集体建设用地和农用地土地定级与基准地价评估。我局已通过公开招投标方式选定广西国泰房地产土地资产评估有限公司承担贺州市市本级集体建设用地和农用地土地定级与基准地价评估工作，总金额为人民币壹佰壹拾叁万元（¥1130000）</w:t>
      </w:r>
      <w:r>
        <w:rPr>
          <w:rFonts w:hint="eastAsia" w:ascii="仿宋_GB2312" w:hAnsi="仿宋_GB2312" w:eastAsia="仿宋_GB2312" w:cs="仿宋_GB2312"/>
          <w:sz w:val="32"/>
          <w:szCs w:val="32"/>
          <w:lang w:eastAsia="zh-CN"/>
        </w:rPr>
        <w:t>。</w:t>
      </w:r>
      <w:bookmarkStart w:id="0" w:name="_GoBack"/>
      <w:bookmarkEnd w:id="0"/>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lang w:eastAsia="zh-CN"/>
        </w:rPr>
        <w:t>二、项目</w:t>
      </w:r>
      <w:r>
        <w:rPr>
          <w:rFonts w:hint="eastAsia" w:ascii="黑体" w:hAnsi="黑体" w:eastAsia="黑体" w:cs="黑体"/>
          <w:sz w:val="32"/>
          <w:szCs w:val="32"/>
        </w:rPr>
        <w:t>绩效分析及评价结论</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（一）项目产出完成情况分析。</w:t>
      </w:r>
      <w:r>
        <w:rPr>
          <w:rFonts w:hint="eastAsia" w:ascii="仿宋_GB2312" w:hAnsi="仿宋_GB2312" w:eastAsia="仿宋_GB2312" w:cs="仿宋_GB2312"/>
          <w:sz w:val="32"/>
          <w:szCs w:val="32"/>
          <w:lang w:val="en-US" w:eastAsia="zh-CN"/>
        </w:rPr>
        <w:t>对照绩效产出指标逐项进行分析说明项目完成的数量、质量、时效等。</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1.产出</w:t>
      </w:r>
      <w:r>
        <w:rPr>
          <w:rFonts w:hint="eastAsia" w:ascii="仿宋_GB2312" w:hAnsi="仿宋_GB2312" w:eastAsia="仿宋_GB2312" w:cs="仿宋_GB2312"/>
          <w:sz w:val="32"/>
          <w:szCs w:val="32"/>
          <w:lang w:val="en-US" w:eastAsia="zh-CN"/>
        </w:rPr>
        <w:t>（满分50分，得50分）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（二）项目效益情况分析。</w:t>
      </w:r>
      <w:r>
        <w:rPr>
          <w:rFonts w:hint="eastAsia" w:ascii="仿宋_GB2312" w:hAnsi="仿宋_GB2312" w:eastAsia="仿宋_GB2312" w:cs="仿宋_GB2312"/>
          <w:sz w:val="32"/>
          <w:szCs w:val="32"/>
          <w:lang w:val="en-US" w:eastAsia="zh-CN"/>
        </w:rPr>
        <w:t>完成贺州市集体建设用地和农用地定级和基准地价体系及对应数据库的建设工作。</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1.效果</w:t>
      </w:r>
      <w:r>
        <w:rPr>
          <w:rFonts w:hint="eastAsia" w:ascii="仿宋_GB2312" w:hAnsi="仿宋_GB2312" w:eastAsia="仿宋_GB2312" w:cs="仿宋_GB2312"/>
          <w:sz w:val="32"/>
          <w:szCs w:val="32"/>
          <w:lang w:val="en-US" w:eastAsia="zh-CN"/>
        </w:rPr>
        <w:t>（满分30分，得30分）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（三）项目可持续性分析。</w:t>
      </w:r>
      <w:r>
        <w:rPr>
          <w:rFonts w:hint="eastAsia" w:ascii="仿宋_GB2312" w:hAnsi="仿宋_GB2312" w:eastAsia="仿宋_GB2312" w:cs="仿宋_GB2312"/>
          <w:sz w:val="32"/>
          <w:szCs w:val="32"/>
          <w:lang w:val="en-US" w:eastAsia="zh-CN"/>
        </w:rPr>
        <w:t>促进农村土地市场发展，实现城乡土地市场一体化奠定基础，指导集体土地地产交易。</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（四）项目绩效指标未完成原因分析。</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rPr>
        <w:t>（五）评价结果和评价结论</w:t>
      </w:r>
      <w:r>
        <w:rPr>
          <w:rFonts w:hint="eastAsia" w:ascii="楷体_GB2312" w:hAnsi="楷体_GB2312" w:eastAsia="楷体_GB2312" w:cs="楷体_GB2312"/>
          <w:b/>
          <w:bCs/>
          <w:sz w:val="32"/>
          <w:szCs w:val="32"/>
          <w:lang w:eastAsia="zh-CN"/>
        </w:rPr>
        <w:t>。</w:t>
      </w:r>
      <w:r>
        <w:rPr>
          <w:rFonts w:hint="eastAsia" w:ascii="仿宋_GB2312" w:hAnsi="仿宋_GB2312" w:eastAsia="仿宋_GB2312" w:cs="仿宋_GB2312"/>
          <w:sz w:val="32"/>
          <w:szCs w:val="32"/>
        </w:rPr>
        <w:t>自评总分</w:t>
      </w:r>
      <w:r>
        <w:rPr>
          <w:rFonts w:hint="eastAsia" w:ascii="仿宋_GB2312" w:hAnsi="仿宋_GB2312" w:eastAsia="仿宋_GB2312" w:cs="仿宋_GB2312"/>
          <w:sz w:val="32"/>
          <w:szCs w:val="32"/>
          <w:lang w:val="en-US" w:eastAsia="zh-CN"/>
        </w:rPr>
        <w:t>91.51分，</w:t>
      </w:r>
      <w:r>
        <w:rPr>
          <w:rFonts w:hint="eastAsia" w:ascii="仿宋_GB2312" w:hAnsi="仿宋_GB2312" w:eastAsia="仿宋_GB2312" w:cs="仿宋_GB2312"/>
          <w:sz w:val="32"/>
          <w:szCs w:val="32"/>
        </w:rPr>
        <w:t>等级为</w:t>
      </w:r>
      <w:r>
        <w:rPr>
          <w:rFonts w:hint="eastAsia" w:ascii="仿宋_GB2312" w:hAnsi="仿宋_GB2312" w:eastAsia="仿宋_GB2312" w:cs="仿宋_GB2312"/>
          <w:sz w:val="32"/>
          <w:szCs w:val="32"/>
          <w:lang w:eastAsia="zh-CN"/>
        </w:rPr>
        <w:t>一等</w:t>
      </w:r>
      <w:r>
        <w:rPr>
          <w:rFonts w:hint="eastAsia" w:ascii="仿宋_GB2312" w:hAnsi="仿宋_GB2312" w:eastAsia="仿宋_GB2312" w:cs="仿宋_GB2312"/>
          <w:sz w:val="32"/>
          <w:szCs w:val="32"/>
        </w:rPr>
        <w:t>。</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三、经验总结、存在问题及意见建议</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（一）主要经验及做法</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（二）存在问题及原因分析</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rPr>
        <w:t>（三）意见建议。</w:t>
      </w:r>
      <w:r>
        <w:rPr>
          <w:rFonts w:hint="eastAsia" w:ascii="仿宋_GB2312" w:hAnsi="仿宋_GB2312" w:eastAsia="仿宋_GB2312" w:cs="仿宋_GB2312"/>
          <w:sz w:val="32"/>
          <w:szCs w:val="32"/>
        </w:rPr>
        <w:t>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黑体" w:hAnsi="黑体" w:eastAsia="黑体" w:cs="黑体"/>
          <w:sz w:val="32"/>
          <w:szCs w:val="32"/>
        </w:rPr>
        <w:t>四、其他需要说明的问题</w:t>
      </w:r>
    </w:p>
    <w:sectPr>
      <w:footerReference r:id="rId3" w:type="default"/>
      <w:pgNumType w:fmt="numberInDash" w:start="7"/>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新宋体">
    <w:panose1 w:val="02010609030101010101"/>
    <w:charset w:val="86"/>
    <w:family w:val="auto"/>
    <w:pitch w:val="default"/>
    <w:sig w:usb0="00000003" w:usb1="288F0000" w:usb2="00000006" w:usb3="00000000" w:csb0="00040001" w:csb1="00000000"/>
  </w:font>
  <w:font w:name="??_GB2312">
    <w:altName w:val="Times New Roman"/>
    <w:panose1 w:val="00000000000000000000"/>
    <w:charset w:val="00"/>
    <w:family w:val="auto"/>
    <w:pitch w:val="default"/>
    <w:sig w:usb0="00000000" w:usb1="00000000" w:usb2="00000000" w:usb3="00000000" w:csb0="00000001" w:csb1="00000000"/>
  </w:font>
  <w:font w:name="楷体">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楷体_GB2312">
    <w:altName w:val="楷体"/>
    <w:panose1 w:val="00000000000000000000"/>
    <w:charset w:val="00"/>
    <w:family w:val="auto"/>
    <w:pitch w:val="default"/>
    <w:sig w:usb0="00000000" w:usb1="00000000" w:usb2="00000000" w:usb3="00000000" w:csb0="00000000" w:csb1="00000000"/>
  </w:font>
  <w:font w:name="FangSong_GB2312">
    <w:altName w:val="仿宋_GB2312"/>
    <w:panose1 w:val="00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characterSpacingControl w:val="compressPunctuation"/>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D928F7"/>
    <w:rsid w:val="09AC3A9C"/>
    <w:rsid w:val="09C21CCC"/>
    <w:rsid w:val="0EF920C9"/>
    <w:rsid w:val="0F8A102B"/>
    <w:rsid w:val="120932F5"/>
    <w:rsid w:val="14D421C7"/>
    <w:rsid w:val="15485378"/>
    <w:rsid w:val="16F11180"/>
    <w:rsid w:val="18AF055F"/>
    <w:rsid w:val="1D024DFC"/>
    <w:rsid w:val="203F6352"/>
    <w:rsid w:val="2424631C"/>
    <w:rsid w:val="28DD7535"/>
    <w:rsid w:val="2B1227DD"/>
    <w:rsid w:val="2D2C7B74"/>
    <w:rsid w:val="2D8D7C9C"/>
    <w:rsid w:val="2DC64C6A"/>
    <w:rsid w:val="2EBC29C4"/>
    <w:rsid w:val="313B196B"/>
    <w:rsid w:val="31AE347F"/>
    <w:rsid w:val="32CD165C"/>
    <w:rsid w:val="34416B1F"/>
    <w:rsid w:val="3D2F0EAB"/>
    <w:rsid w:val="3E4C4CEE"/>
    <w:rsid w:val="41C104B8"/>
    <w:rsid w:val="42D75E91"/>
    <w:rsid w:val="434778A0"/>
    <w:rsid w:val="4D3E2113"/>
    <w:rsid w:val="4ECD0705"/>
    <w:rsid w:val="509F7A23"/>
    <w:rsid w:val="52786F2C"/>
    <w:rsid w:val="6703068A"/>
    <w:rsid w:val="6EA94A5E"/>
    <w:rsid w:val="759077BF"/>
    <w:rsid w:val="7B707713"/>
    <w:rsid w:val="7FDA39A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Plain Text"/>
    <w:basedOn w:val="1"/>
    <w:qFormat/>
    <w:uiPriority w:val="0"/>
    <w:rPr>
      <w:rFonts w:ascii="宋体" w:hAnsi="Courier New"/>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Office_10.8.0.6423_F1E327BC-269C-435d-A152-05C5408002CA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2019-04-02T08:33:00Z</dcterms:created>
  <dc:creator>CZJ</dc:creator>
  <cp:lastModifiedBy>陆廷军</cp:lastModifiedBy>
  <cp:lastPrinted>2022-04-08T02:44:00Z</cp:lastPrinted>
  <dcterms:modified xsi:type="dcterms:W3CDTF">2023-03-21T03:11:39Z</dcterms:modified>
  <dc:title>附件5</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