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贺州市蓝线专项规划项目支出绩效</w:t>
      </w:r>
    </w:p>
    <w:p>
      <w:pPr>
        <w:jc w:val="center"/>
        <w:rPr>
          <w:rFonts w:hint="eastAsia" w:ascii="方正小标宋简体" w:hAnsi="方正小标宋简体" w:eastAsia="方正小标宋简体" w:cs="方正小标宋简体"/>
          <w:color w:val="auto"/>
          <w:sz w:val="52"/>
          <w:szCs w:val="52"/>
        </w:rPr>
      </w:pPr>
      <w:r>
        <w:rPr>
          <w:rFonts w:hint="eastAsia" w:ascii="方正小标宋简体" w:hAnsi="方正小标宋简体" w:eastAsia="方正小标宋简体" w:cs="方正小标宋简体"/>
          <w:color w:val="auto"/>
          <w:sz w:val="52"/>
          <w:szCs w:val="52"/>
        </w:rPr>
        <w:t>自评报告</w:t>
      </w:r>
    </w:p>
    <w:p>
      <w:pPr>
        <w:rPr>
          <w:rFonts w:hint="eastAsia" w:hAnsi="宋体"/>
          <w:color w:val="auto"/>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color w:val="auto"/>
          <w:sz w:val="30"/>
          <w:szCs w:val="30"/>
        </w:rPr>
      </w:pPr>
      <w:r>
        <w:rPr>
          <w:rFonts w:hint="eastAsia" w:ascii="宋体" w:hAnsi="宋体" w:eastAsia="宋体" w:cs="宋体"/>
          <w:color w:val="auto"/>
          <w:sz w:val="30"/>
          <w:szCs w:val="30"/>
        </w:rPr>
        <w:t xml:space="preserve">项目名称：贺州市蓝线专项规划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color w:val="auto"/>
          <w:sz w:val="30"/>
          <w:szCs w:val="30"/>
        </w:rPr>
      </w:pPr>
      <w:r>
        <w:rPr>
          <w:rFonts w:hint="eastAsia" w:ascii="宋体" w:hAnsi="宋体" w:eastAsia="宋体" w:cs="宋体"/>
          <w:color w:val="auto"/>
          <w:sz w:val="30"/>
          <w:szCs w:val="30"/>
        </w:rPr>
        <w:t>主管部门</w:t>
      </w:r>
      <w:r>
        <w:rPr>
          <w:rFonts w:hint="eastAsia" w:hAnsi="宋体" w:eastAsia="宋体" w:cs="宋体"/>
          <w:color w:val="auto"/>
          <w:sz w:val="30"/>
          <w:szCs w:val="30"/>
          <w:lang w:eastAsia="zh-CN"/>
        </w:rPr>
        <w:t>：贺州市自然资源局</w:t>
      </w:r>
      <w:r>
        <w:rPr>
          <w:rFonts w:hint="eastAsia" w:ascii="宋体" w:hAnsi="宋体" w:eastAsia="宋体" w:cs="宋体"/>
          <w:color w:val="auto"/>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color w:val="auto"/>
          <w:sz w:val="30"/>
          <w:szCs w:val="30"/>
        </w:rPr>
      </w:pPr>
      <w:r>
        <w:rPr>
          <w:rFonts w:hint="eastAsia" w:ascii="宋体" w:hAnsi="宋体" w:eastAsia="宋体" w:cs="宋体"/>
          <w:color w:val="auto"/>
          <w:sz w:val="30"/>
          <w:szCs w:val="30"/>
        </w:rPr>
        <w:t>实施单位：</w:t>
      </w:r>
      <w:r>
        <w:rPr>
          <w:rFonts w:hint="eastAsia" w:hAnsi="宋体" w:eastAsia="宋体" w:cs="宋体"/>
          <w:color w:val="auto"/>
          <w:sz w:val="30"/>
          <w:szCs w:val="30"/>
          <w:lang w:eastAsia="zh-CN"/>
        </w:rPr>
        <w:t>贺州市自然资源局</w:t>
      </w:r>
      <w:r>
        <w:rPr>
          <w:rFonts w:hint="eastAsia" w:ascii="宋体" w:hAnsi="宋体" w:eastAsia="宋体" w:cs="宋体"/>
          <w:color w:val="auto"/>
          <w:sz w:val="30"/>
          <w:szCs w:val="30"/>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color w:val="auto"/>
          <w:sz w:val="30"/>
          <w:szCs w:val="30"/>
        </w:rPr>
      </w:pPr>
      <w:r>
        <w:rPr>
          <w:rFonts w:hint="eastAsia" w:ascii="宋体" w:hAnsi="宋体" w:eastAsia="宋体" w:cs="宋体"/>
          <w:color w:val="auto"/>
          <w:sz w:val="30"/>
          <w:szCs w:val="30"/>
        </w:rPr>
        <w:t>评价类型：事前评价□    事中评价</w:t>
      </w:r>
      <w:r>
        <w:rPr>
          <w:rFonts w:hint="eastAsia" w:hAnsi="宋体" w:eastAsia="宋体" w:cs="宋体"/>
          <w:color w:val="auto"/>
          <w:sz w:val="30"/>
          <w:szCs w:val="30"/>
          <w:lang w:eastAsia="zh-CN"/>
        </w:rPr>
        <w:t>☑</w:t>
      </w:r>
      <w:r>
        <w:rPr>
          <w:rFonts w:hint="eastAsia" w:ascii="宋体" w:hAnsi="宋体" w:eastAsia="宋体" w:cs="宋体"/>
          <w:color w:val="auto"/>
          <w:sz w:val="30"/>
          <w:szCs w:val="30"/>
        </w:rPr>
        <w:t xml:space="preserve">    事后评价□</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color w:val="auto"/>
          <w:sz w:val="30"/>
          <w:szCs w:val="30"/>
        </w:rPr>
      </w:pPr>
      <w:r>
        <w:rPr>
          <w:rFonts w:hint="eastAsia" w:ascii="宋体" w:hAnsi="宋体" w:eastAsia="宋体" w:cs="宋体"/>
          <w:color w:val="auto"/>
          <w:sz w:val="30"/>
          <w:szCs w:val="30"/>
        </w:rPr>
        <w:t>组织方式：部门（单位）绩效自评</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color w:val="auto"/>
          <w:sz w:val="30"/>
          <w:szCs w:val="30"/>
        </w:rPr>
      </w:pPr>
      <w:r>
        <w:rPr>
          <w:rFonts w:hint="eastAsia" w:ascii="宋体" w:hAnsi="宋体" w:eastAsia="宋体" w:cs="宋体"/>
          <w:color w:val="auto"/>
          <w:sz w:val="30"/>
          <w:szCs w:val="30"/>
        </w:rPr>
        <w:t>评价机构：项目单位评价组</w:t>
      </w:r>
      <w:r>
        <w:rPr>
          <w:rFonts w:hint="eastAsia" w:hAnsi="宋体" w:eastAsia="宋体" w:cs="宋体"/>
          <w:color w:val="auto"/>
          <w:sz w:val="30"/>
          <w:szCs w:val="30"/>
          <w:lang w:eastAsia="zh-CN"/>
        </w:rPr>
        <w:t>☑</w:t>
      </w:r>
      <w:r>
        <w:rPr>
          <w:rFonts w:hint="eastAsia" w:ascii="宋体" w:hAnsi="宋体" w:eastAsia="宋体" w:cs="宋体"/>
          <w:color w:val="auto"/>
          <w:sz w:val="30"/>
          <w:szCs w:val="30"/>
        </w:rPr>
        <w:t xml:space="preserve">    中介机构□    专家组□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　　　</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方正仿宋_GB2312" w:hAnsi="方正仿宋_GB2312" w:eastAsia="方正仿宋_GB2312" w:cs="方正仿宋_GB2312"/>
          <w:color w:val="auto"/>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hAnsi="宋体" w:eastAsia="宋体" w:cs="宋体"/>
          <w:color w:val="auto"/>
          <w:sz w:val="32"/>
          <w:szCs w:val="32"/>
          <w:lang w:eastAsia="zh-CN"/>
        </w:rPr>
      </w:pPr>
      <w:r>
        <w:rPr>
          <w:rFonts w:hint="eastAsia" w:hAnsi="宋体" w:eastAsia="宋体" w:cs="宋体"/>
          <w:color w:val="auto"/>
          <w:sz w:val="32"/>
          <w:szCs w:val="32"/>
          <w:lang w:eastAsia="zh-CN"/>
        </w:rPr>
        <w:t>贺州市自然资源局</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color w:val="auto"/>
          <w:sz w:val="32"/>
          <w:szCs w:val="32"/>
        </w:rPr>
      </w:pPr>
      <w:r>
        <w:rPr>
          <w:rFonts w:hint="eastAsia" w:hAnsi="宋体" w:eastAsia="宋体" w:cs="宋体"/>
          <w:color w:val="auto"/>
          <w:sz w:val="32"/>
          <w:szCs w:val="32"/>
          <w:lang w:val="en-US" w:eastAsia="zh-CN"/>
        </w:rPr>
        <w:t>2023</w:t>
      </w:r>
      <w:r>
        <w:rPr>
          <w:rFonts w:hint="eastAsia" w:ascii="宋体" w:hAnsi="宋体" w:eastAsia="宋体" w:cs="宋体"/>
          <w:color w:val="auto"/>
          <w:sz w:val="32"/>
          <w:szCs w:val="32"/>
        </w:rPr>
        <w:t>年</w:t>
      </w:r>
      <w:r>
        <w:rPr>
          <w:rFonts w:hint="eastAsia" w:hAnsi="宋体" w:eastAsia="宋体" w:cs="宋体"/>
          <w:color w:val="auto"/>
          <w:sz w:val="32"/>
          <w:szCs w:val="32"/>
          <w:lang w:val="en-US" w:eastAsia="zh-CN"/>
        </w:rPr>
        <w:t>3</w:t>
      </w:r>
      <w:r>
        <w:rPr>
          <w:rFonts w:hint="eastAsia" w:ascii="宋体" w:hAnsi="宋体" w:eastAsia="宋体" w:cs="宋体"/>
          <w:color w:val="auto"/>
          <w:sz w:val="32"/>
          <w:szCs w:val="32"/>
        </w:rPr>
        <w:t>月</w:t>
      </w:r>
      <w:r>
        <w:rPr>
          <w:rFonts w:hint="eastAsia" w:hAnsi="宋体" w:eastAsia="宋体" w:cs="宋体"/>
          <w:color w:val="auto"/>
          <w:sz w:val="32"/>
          <w:szCs w:val="32"/>
          <w:lang w:val="en-US" w:eastAsia="zh-CN"/>
        </w:rPr>
        <w:t>9</w:t>
      </w:r>
      <w:r>
        <w:rPr>
          <w:rFonts w:hint="eastAsia" w:ascii="宋体" w:hAnsi="宋体" w:eastAsia="宋体" w:cs="宋体"/>
          <w:color w:val="auto"/>
          <w:sz w:val="32"/>
          <w:szCs w:val="32"/>
        </w:rPr>
        <w:t>日</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仿宋_GB2312" w:hAnsi="方正仿宋_GB2312" w:eastAsia="方正仿宋_GB2312" w:cs="方正仿宋_GB2312"/>
          <w:color w:val="auto"/>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项目</w:t>
      </w:r>
      <w:r>
        <w:rPr>
          <w:rFonts w:hint="eastAsia" w:ascii="方正小标宋简体" w:hAnsi="方正小标宋简体" w:eastAsia="方正小标宋简体" w:cs="方正小标宋简体"/>
          <w:color w:val="auto"/>
          <w:sz w:val="44"/>
          <w:szCs w:val="44"/>
        </w:rPr>
        <w:t>支出绩效自评基础信息表</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仿宋_GB2312" w:hAnsi="方正仿宋_GB2312" w:eastAsia="方正仿宋_GB2312" w:cs="方正仿宋_GB2312"/>
          <w:color w:val="auto"/>
          <w:sz w:val="32"/>
          <w:szCs w:val="32"/>
        </w:rPr>
      </w:pPr>
    </w:p>
    <w:tbl>
      <w:tblPr>
        <w:tblStyle w:val="8"/>
        <w:tblW w:w="10920" w:type="dxa"/>
        <w:jc w:val="center"/>
        <w:tblInd w:w="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color w:val="auto"/>
                <w:sz w:val="18"/>
                <w:szCs w:val="18"/>
              </w:rPr>
            </w:pPr>
            <w:r>
              <w:rPr>
                <w:rFonts w:hint="default" w:ascii="Times New Roman" w:hAnsi="Times New Roman" w:eastAsia="黑体" w:cs="Times New Roman"/>
                <w:color w:val="auto"/>
                <w:sz w:val="21"/>
                <w:szCs w:val="21"/>
                <w:lang w:val="en-US" w:eastAsia="zh-CN"/>
              </w:rPr>
              <w:t>1-1</w:t>
            </w:r>
            <w:r>
              <w:rPr>
                <w:rFonts w:hint="eastAsia" w:ascii="黑体" w:hAnsi="黑体" w:eastAsia="黑体" w:cs="黑体"/>
                <w:color w:val="auto"/>
                <w:sz w:val="21"/>
                <w:szCs w:val="21"/>
                <w:lang w:val="en-US" w:eastAsia="zh-CN"/>
              </w:rPr>
              <w:t>：</w:t>
            </w:r>
            <w:r>
              <w:rPr>
                <w:rFonts w:hint="eastAsia" w:ascii="黑体" w:hAnsi="黑体" w:eastAsia="黑体" w:cs="黑体"/>
                <w:color w:val="auto"/>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项目</w:t>
            </w:r>
            <w:r>
              <w:rPr>
                <w:rFonts w:hint="eastAsia" w:ascii="宋体" w:hAnsi="宋体" w:eastAsia="宋体" w:cs="宋体"/>
                <w:color w:val="auto"/>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 xml:space="preserve">贺州市蓝线专项规划  </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项目</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刘显杯</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highlight w:val="cyan"/>
              </w:rPr>
            </w:pPr>
            <w:r>
              <w:rPr>
                <w:rFonts w:hint="eastAsia" w:ascii="宋体" w:hAnsi="宋体" w:eastAsia="宋体" w:cs="宋体"/>
                <w:color w:val="auto"/>
                <w:sz w:val="18"/>
                <w:szCs w:val="18"/>
                <w:highlight w:val="none"/>
                <w:lang w:val="en-US" w:eastAsia="zh-CN"/>
              </w:rPr>
              <w:t>18378401058</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项目资金</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贺政函〔</w:t>
            </w:r>
            <w:r>
              <w:rPr>
                <w:rFonts w:hint="eastAsia" w:ascii="宋体" w:hAnsi="宋体" w:eastAsia="宋体" w:cs="宋体"/>
                <w:color w:val="auto"/>
                <w:sz w:val="18"/>
                <w:szCs w:val="18"/>
                <w:lang w:val="en-US" w:eastAsia="zh-CN"/>
              </w:rPr>
              <w:t>2022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资金项目</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highlight w:val="cyan"/>
              </w:rPr>
            </w:pPr>
            <w:r>
              <w:rPr>
                <w:rFonts w:hint="eastAsia" w:ascii="宋体" w:hAnsi="宋体" w:eastAsia="宋体" w:cs="宋体"/>
                <w:color w:val="auto"/>
                <w:sz w:val="18"/>
                <w:szCs w:val="18"/>
                <w:highlight w:val="none"/>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1.基本建设类</w:t>
            </w:r>
            <w:r>
              <w:rPr>
                <w:rFonts w:hint="eastAsia" w:ascii="宋体" w:hAnsi="宋体" w:eastAsia="宋体" w:cs="宋体"/>
                <w:b w:val="0"/>
                <w:bCs w:val="0"/>
                <w:color w:val="auto"/>
                <w:kern w:val="0"/>
                <w:sz w:val="18"/>
                <w:szCs w:val="18"/>
                <w:lang w:eastAsia="zh-CN"/>
              </w:rPr>
              <w:t>□</w:t>
            </w:r>
            <w:r>
              <w:rPr>
                <w:rFonts w:hint="eastAsia" w:ascii="宋体" w:hAnsi="宋体" w:eastAsia="宋体" w:cs="宋体"/>
                <w:b w:val="0"/>
                <w:bCs w:val="0"/>
                <w:color w:val="auto"/>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项目开</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计划：</w:t>
            </w:r>
            <w:r>
              <w:rPr>
                <w:rFonts w:hint="eastAsia" w:ascii="宋体" w:hAnsi="宋体" w:eastAsia="宋体" w:cs="宋体"/>
                <w:color w:val="auto"/>
                <w:sz w:val="18"/>
                <w:szCs w:val="18"/>
                <w:highlight w:val="none"/>
                <w:lang w:val="en-US" w:eastAsia="zh-CN"/>
              </w:rPr>
              <w:t>2019年10月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highlight w:val="none"/>
                <w:lang w:val="en-US"/>
              </w:rPr>
            </w:pPr>
            <w:r>
              <w:rPr>
                <w:rFonts w:hint="eastAsia" w:ascii="宋体" w:hAnsi="宋体" w:eastAsia="宋体" w:cs="宋体"/>
                <w:color w:val="auto"/>
                <w:sz w:val="18"/>
                <w:szCs w:val="18"/>
                <w:highlight w:val="none"/>
                <w:lang w:val="en-US" w:eastAsia="zh-CN"/>
              </w:rPr>
              <w:t xml:space="preserve"> </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rPr>
                <w:color w:val="auto"/>
              </w:rPr>
            </w:pPr>
          </w:p>
        </w:tc>
        <w:tc>
          <w:tcPr>
            <w:tcW w:w="4336" w:type="dxa"/>
            <w:gridSpan w:val="15"/>
            <w:vMerge w:val="continue"/>
            <w:tcBorders>
              <w:left w:val="nil"/>
              <w:bottom w:val="single" w:color="auto" w:sz="4" w:space="0"/>
              <w:right w:val="single" w:color="auto" w:sz="4" w:space="0"/>
            </w:tcBorders>
            <w:vAlign w:val="center"/>
          </w:tcPr>
          <w:p>
            <w:pPr>
              <w:jc w:val="center"/>
              <w:rPr>
                <w:color w:val="auto"/>
              </w:rPr>
            </w:pPr>
          </w:p>
        </w:tc>
        <w:tc>
          <w:tcPr>
            <w:tcW w:w="960" w:type="dxa"/>
            <w:gridSpan w:val="4"/>
            <w:vMerge w:val="continue"/>
            <w:tcBorders>
              <w:left w:val="nil"/>
              <w:bottom w:val="single" w:color="auto" w:sz="4" w:space="0"/>
              <w:right w:val="single" w:color="auto" w:sz="4" w:space="0"/>
            </w:tcBorders>
            <w:vAlign w:val="center"/>
          </w:tcPr>
          <w:p>
            <w:pPr>
              <w:jc w:val="center"/>
              <w:rPr>
                <w:color w:val="auto"/>
              </w:rP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rPr>
              <w:t>计划：</w:t>
            </w:r>
            <w:r>
              <w:rPr>
                <w:rFonts w:hint="eastAsia" w:ascii="宋体" w:hAnsi="宋体" w:eastAsia="宋体" w:cs="宋体"/>
                <w:color w:val="auto"/>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eastAsia="zh-CN"/>
              </w:rPr>
              <w:t>计划：</w:t>
            </w:r>
            <w:r>
              <w:rPr>
                <w:rFonts w:hint="eastAsia" w:ascii="宋体" w:hAnsi="宋体" w:eastAsia="宋体" w:cs="宋体"/>
                <w:color w:val="auto"/>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资金项目</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安排年度</w:t>
            </w:r>
          </w:p>
          <w:p>
            <w:pPr>
              <w:jc w:val="center"/>
              <w:rPr>
                <w:rFonts w:hint="eastAsia" w:ascii="宋体" w:hAnsi="宋体" w:eastAsia="宋体" w:cs="宋体"/>
                <w:color w:val="auto"/>
                <w:sz w:val="18"/>
                <w:szCs w:val="18"/>
                <w:highlight w:val="cyan"/>
              </w:rPr>
            </w:pPr>
          </w:p>
          <w:p>
            <w:pPr>
              <w:numPr>
                <w:ilvl w:val="0"/>
                <w:numId w:val="0"/>
              </w:numPr>
              <w:jc w:val="both"/>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 xml:space="preserve"> 2.专家评审立项的项目□</w:t>
            </w:r>
          </w:p>
          <w:p>
            <w:pPr>
              <w:rPr>
                <w:color w:val="auto"/>
              </w:rPr>
            </w:pPr>
            <w:r>
              <w:rPr>
                <w:rFonts w:hint="eastAsia" w:ascii="宋体" w:hAnsi="宋体" w:eastAsia="宋体" w:cs="宋体"/>
                <w:color w:val="auto"/>
                <w:sz w:val="18"/>
                <w:szCs w:val="18"/>
                <w:lang w:val="en-US" w:eastAsia="zh-CN"/>
              </w:rPr>
              <w:t>3.公开招标立项的项目□                               4.其他方式立项</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实际到位</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（到达项目单位）</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到位金额</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到位率（</w:t>
            </w:r>
            <w:r>
              <w:rPr>
                <w:rFonts w:hint="eastAsia" w:ascii="宋体" w:hAnsi="宋体" w:eastAsia="宋体" w:cs="宋体"/>
                <w:color w:val="auto"/>
                <w:sz w:val="18"/>
                <w:szCs w:val="18"/>
                <w:lang w:val="en-US" w:eastAsia="zh-CN"/>
              </w:rPr>
              <w:t>%）</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到位时间</w:t>
            </w:r>
          </w:p>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合计：</w:t>
            </w:r>
            <w:r>
              <w:rPr>
                <w:rFonts w:hint="eastAsia" w:ascii="宋体" w:hAnsi="宋体" w:eastAsia="宋体" w:cs="宋体"/>
                <w:color w:val="auto"/>
                <w:sz w:val="18"/>
                <w:szCs w:val="18"/>
                <w:lang w:val="en-US" w:eastAsia="zh-CN"/>
              </w:rPr>
              <w:t xml:space="preserve">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rPr>
            </w:pPr>
            <w:r>
              <w:rPr>
                <w:rFonts w:hint="default" w:ascii="Times New Roman" w:hAnsi="Times New Roman" w:eastAsia="黑体" w:cs="Times New Roman"/>
                <w:color w:val="auto"/>
                <w:sz w:val="21"/>
                <w:szCs w:val="21"/>
                <w:lang w:eastAsia="zh-CN"/>
              </w:rPr>
              <w:t>1-</w:t>
            </w:r>
            <w:r>
              <w:rPr>
                <w:rFonts w:hint="default" w:ascii="Times New Roman" w:hAnsi="Times New Roman" w:eastAsia="黑体" w:cs="Times New Roman"/>
                <w:color w:val="auto"/>
                <w:sz w:val="21"/>
                <w:szCs w:val="21"/>
                <w:lang w:val="en-US" w:eastAsia="zh-CN"/>
              </w:rPr>
              <w:t>2</w:t>
            </w:r>
            <w:r>
              <w:rPr>
                <w:rFonts w:hint="eastAsia" w:ascii="黑体" w:hAnsi="黑体" w:eastAsia="黑体" w:cs="黑体"/>
                <w:color w:val="auto"/>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 xml:space="preserve">3.公开招标立项的项目□                               4.其他方式立项的项目（注明具体方式）☑_文件要求__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rPr>
            </w:pPr>
            <w:r>
              <w:rPr>
                <w:rFonts w:hint="default" w:ascii="Times New Roman" w:hAnsi="Times New Roman" w:eastAsia="黑体" w:cs="Times New Roman"/>
                <w:color w:val="auto"/>
                <w:sz w:val="21"/>
                <w:szCs w:val="21"/>
              </w:rPr>
              <w:t>1-</w:t>
            </w:r>
            <w:r>
              <w:rPr>
                <w:rFonts w:hint="default" w:ascii="Times New Roman" w:hAnsi="Times New Roman" w:eastAsia="黑体" w:cs="Times New Roman"/>
                <w:color w:val="auto"/>
                <w:sz w:val="21"/>
                <w:szCs w:val="21"/>
                <w:lang w:val="en-US" w:eastAsia="zh-CN"/>
              </w:rPr>
              <w:t>3</w:t>
            </w:r>
            <w:r>
              <w:rPr>
                <w:rFonts w:hint="eastAsia" w:ascii="黑体" w:hAnsi="黑体" w:eastAsia="黑体" w:cs="黑体"/>
                <w:color w:val="auto"/>
                <w:sz w:val="21"/>
                <w:szCs w:val="21"/>
              </w:rPr>
              <w:t>：</w:t>
            </w:r>
            <w:r>
              <w:rPr>
                <w:rFonts w:hint="eastAsia" w:ascii="黑体" w:hAnsi="黑体" w:eastAsia="黑体" w:cs="黑体"/>
                <w:color w:val="auto"/>
                <w:sz w:val="21"/>
                <w:szCs w:val="21"/>
                <w:lang w:eastAsia="zh-CN"/>
              </w:rPr>
              <w:t>实施过程</w:t>
            </w:r>
            <w:r>
              <w:rPr>
                <w:rFonts w:hint="eastAsia" w:ascii="黑体" w:hAnsi="黑体" w:eastAsia="黑体" w:cs="黑体"/>
                <w:color w:val="auto"/>
                <w:sz w:val="21"/>
                <w:szCs w:val="21"/>
              </w:rPr>
              <w:t>情况</w:t>
            </w:r>
            <w:r>
              <w:rPr>
                <w:rFonts w:hint="eastAsia" w:ascii="黑体" w:hAnsi="黑体" w:eastAsia="黑体" w:cs="黑体"/>
                <w:color w:val="auto"/>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实际到位</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实际支出</w:t>
            </w:r>
          </w:p>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到位率（</w:t>
            </w:r>
            <w:r>
              <w:rPr>
                <w:rFonts w:hint="eastAsia" w:ascii="宋体" w:hAnsi="宋体" w:eastAsia="宋体" w:cs="宋体"/>
                <w:color w:val="auto"/>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支出率（</w:t>
            </w:r>
            <w:r>
              <w:rPr>
                <w:rFonts w:hint="eastAsia" w:ascii="宋体" w:hAnsi="宋体" w:eastAsia="宋体" w:cs="宋体"/>
                <w:color w:val="auto"/>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26.7</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62.3</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26.7</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color w:val="auto"/>
                <w:sz w:val="18"/>
                <w:szCs w:val="18"/>
              </w:rPr>
            </w:pPr>
            <w:r>
              <w:rPr>
                <w:rFonts w:hint="eastAsia" w:ascii="宋体" w:hAnsi="宋体" w:eastAsia="宋体" w:cs="宋体"/>
                <w:color w:val="auto"/>
                <w:sz w:val="18"/>
                <w:szCs w:val="18"/>
              </w:rPr>
              <w:t>①</w:t>
            </w:r>
            <w:r>
              <w:rPr>
                <w:rFonts w:hint="eastAsia" w:ascii="宋体" w:hAnsi="宋体" w:eastAsia="宋体" w:cs="宋体"/>
                <w:color w:val="auto"/>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color w:val="auto"/>
                <w:sz w:val="18"/>
                <w:szCs w:val="18"/>
              </w:rPr>
            </w:pPr>
            <w:r>
              <w:rPr>
                <w:rFonts w:hint="eastAsia" w:ascii="宋体" w:hAnsi="宋体" w:eastAsia="宋体" w:cs="宋体"/>
                <w:color w:val="auto"/>
                <w:sz w:val="18"/>
                <w:szCs w:val="18"/>
              </w:rPr>
              <w:t>②</w:t>
            </w:r>
            <w:r>
              <w:rPr>
                <w:rFonts w:hint="eastAsia" w:ascii="宋体" w:hAnsi="宋体" w:eastAsia="宋体" w:cs="宋体"/>
                <w:color w:val="auto"/>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color w:val="auto"/>
                <w:sz w:val="18"/>
                <w:szCs w:val="18"/>
              </w:rPr>
            </w:pPr>
            <w:r>
              <w:rPr>
                <w:rFonts w:hint="eastAsia" w:ascii="宋体" w:hAnsi="宋体" w:eastAsia="宋体" w:cs="宋体"/>
                <w:color w:val="auto"/>
                <w:sz w:val="18"/>
                <w:szCs w:val="18"/>
              </w:rPr>
              <w:t>③</w:t>
            </w:r>
            <w:r>
              <w:rPr>
                <w:rFonts w:hint="eastAsia" w:ascii="宋体" w:hAnsi="宋体" w:eastAsia="宋体" w:cs="宋体"/>
                <w:color w:val="auto"/>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资金实际支出明细内容</w:t>
            </w: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项目预算</w:t>
            </w: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项目实际</w:t>
            </w: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资金支出依据（相关的资金管理办法、</w:t>
            </w: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color w:val="auto"/>
                <w:sz w:val="18"/>
                <w:szCs w:val="18"/>
                <w:lang w:val="en-US" w:eastAsia="zh-CN"/>
              </w:rPr>
            </w:pPr>
            <w:r>
              <w:rPr>
                <w:rFonts w:hint="default" w:ascii="Times New Roman" w:hAnsi="Times New Roman" w:eastAsia="宋体" w:cs="Times New Roman"/>
                <w:color w:val="auto"/>
                <w:sz w:val="18"/>
                <w:szCs w:val="18"/>
                <w:lang w:val="en-US" w:eastAsia="zh-CN"/>
              </w:rPr>
              <w:t>1</w:t>
            </w:r>
            <w:r>
              <w:rPr>
                <w:rFonts w:hint="eastAsia" w:ascii="宋体" w:hAnsi="宋体" w:eastAsia="宋体" w:cs="宋体"/>
                <w:color w:val="auto"/>
                <w:sz w:val="18"/>
                <w:szCs w:val="18"/>
                <w:lang w:val="en-US" w:eastAsia="zh-CN"/>
              </w:rPr>
              <w:t>.预算变动</w:t>
            </w:r>
          </w:p>
          <w:p>
            <w:pPr>
              <w:numPr>
                <w:ilvl w:val="0"/>
                <w:numId w:val="0"/>
              </w:num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default" w:ascii="Times New Roman" w:hAnsi="Times New Roman" w:eastAsia="宋体" w:cs="Times New Roman"/>
                <w:color w:val="auto"/>
                <w:sz w:val="18"/>
                <w:szCs w:val="18"/>
                <w:lang w:val="en-US" w:eastAsia="zh-CN"/>
              </w:rPr>
              <w:t>2</w:t>
            </w:r>
            <w:r>
              <w:rPr>
                <w:rFonts w:hint="eastAsia" w:ascii="宋体" w:hAnsi="宋体" w:eastAsia="宋体" w:cs="宋体"/>
                <w:color w:val="auto"/>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default" w:ascii="Times New Roman" w:hAnsi="Times New Roman" w:eastAsia="宋体" w:cs="Times New Roman"/>
                <w:color w:val="auto"/>
                <w:sz w:val="18"/>
                <w:szCs w:val="18"/>
                <w:lang w:val="en-US" w:eastAsia="zh-CN"/>
              </w:rPr>
              <w:t>3</w:t>
            </w:r>
            <w:r>
              <w:rPr>
                <w:rFonts w:hint="eastAsia" w:ascii="宋体" w:hAnsi="宋体" w:eastAsia="宋体" w:cs="宋体"/>
                <w:color w:val="auto"/>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实际办理</w:t>
            </w: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调整原因及</w:t>
            </w:r>
          </w:p>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未办理批复的</w:t>
            </w:r>
          </w:p>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验收</w:t>
            </w: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rPr>
              <w:t>未完结</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验收</w:t>
            </w: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color w:val="auto"/>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color w:val="auto"/>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color w:val="auto"/>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项目已完成未</w:t>
            </w:r>
          </w:p>
          <w:p>
            <w:pPr>
              <w:jc w:val="center"/>
              <w:rPr>
                <w:rFonts w:hint="eastAsia" w:ascii="黑体" w:hAnsi="黑体" w:eastAsia="黑体" w:cs="黑体"/>
                <w:color w:val="auto"/>
                <w:sz w:val="21"/>
                <w:szCs w:val="21"/>
                <w:lang w:val="en-US" w:eastAsia="zh-CN"/>
              </w:rPr>
            </w:pPr>
            <w:r>
              <w:rPr>
                <w:rFonts w:hint="eastAsia" w:ascii="宋体" w:hAnsi="宋体" w:eastAsia="宋体" w:cs="宋体"/>
                <w:color w:val="auto"/>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color w:val="auto"/>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color w:val="auto"/>
                <w:sz w:val="18"/>
                <w:szCs w:val="18"/>
                <w:lang w:eastAsia="zh-CN"/>
              </w:rPr>
            </w:pPr>
            <w:r>
              <w:rPr>
                <w:rFonts w:hint="default" w:ascii="Times New Roman" w:hAnsi="Times New Roman" w:eastAsia="黑体" w:cs="Times New Roman"/>
                <w:color w:val="auto"/>
                <w:sz w:val="21"/>
                <w:szCs w:val="21"/>
                <w:lang w:val="en-US" w:eastAsia="zh-CN"/>
              </w:rPr>
              <w:t>1-4</w:t>
            </w:r>
            <w:r>
              <w:rPr>
                <w:rFonts w:hint="eastAsia" w:ascii="黑体" w:hAnsi="黑体" w:eastAsia="黑体" w:cs="黑体"/>
                <w:color w:val="auto"/>
                <w:sz w:val="21"/>
                <w:szCs w:val="21"/>
                <w:lang w:val="en-US" w:eastAsia="zh-CN"/>
              </w:rPr>
              <w:t>：</w:t>
            </w:r>
            <w:r>
              <w:rPr>
                <w:rFonts w:hint="eastAsia" w:ascii="黑体" w:hAnsi="黑体" w:eastAsia="黑体" w:cs="黑体"/>
                <w:color w:val="auto"/>
                <w:sz w:val="21"/>
                <w:szCs w:val="21"/>
                <w:lang w:eastAsia="zh-CN"/>
              </w:rPr>
              <w:t>评价人员（最少</w:t>
            </w:r>
            <w:r>
              <w:rPr>
                <w:rFonts w:hint="default" w:ascii="Times New Roman" w:hAnsi="Times New Roman" w:eastAsia="黑体" w:cs="Times New Roman"/>
                <w:color w:val="auto"/>
                <w:sz w:val="21"/>
                <w:szCs w:val="21"/>
                <w:lang w:eastAsia="zh-CN"/>
              </w:rPr>
              <w:t>3</w:t>
            </w:r>
            <w:r>
              <w:rPr>
                <w:rFonts w:hint="eastAsia" w:ascii="黑体" w:hAnsi="黑体" w:eastAsia="黑体" w:cs="黑体"/>
                <w:color w:val="auto"/>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t>姓名：</w:t>
            </w:r>
            <w:r>
              <w:rPr>
                <w:rFonts w:hint="eastAsia" w:ascii="宋体" w:hAnsi="宋体" w:eastAsia="宋体" w:cs="宋体"/>
                <w:b w:val="0"/>
                <w:bCs w:val="0"/>
                <w:color w:val="auto"/>
                <w:sz w:val="18"/>
                <w:szCs w:val="18"/>
                <w:lang w:eastAsia="zh-CN"/>
              </w:rPr>
              <w:t>刘显杯</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t>单位和职务</w:t>
            </w:r>
            <w:r>
              <w:rPr>
                <w:rFonts w:hint="eastAsia" w:ascii="宋体" w:hAnsi="宋体" w:eastAsia="宋体" w:cs="宋体"/>
                <w:b w:val="0"/>
                <w:bCs w:val="0"/>
                <w:color w:val="auto"/>
                <w:sz w:val="18"/>
                <w:szCs w:val="18"/>
                <w:lang w:eastAsia="zh-CN"/>
              </w:rPr>
              <w:t>：贺州市自然资源局专项规划科负责人</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t>姓名：</w:t>
            </w:r>
            <w:r>
              <w:rPr>
                <w:rFonts w:hint="eastAsia" w:ascii="宋体" w:hAnsi="宋体" w:eastAsia="宋体" w:cs="宋体"/>
                <w:b w:val="0"/>
                <w:bCs w:val="0"/>
                <w:color w:val="auto"/>
                <w:sz w:val="18"/>
                <w:szCs w:val="18"/>
                <w:lang w:eastAsia="zh-CN"/>
              </w:rPr>
              <w:t>钟梦思</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t>单位和职务</w:t>
            </w:r>
            <w:r>
              <w:rPr>
                <w:rFonts w:hint="eastAsia" w:ascii="宋体" w:hAnsi="宋体" w:eastAsia="宋体" w:cs="宋体"/>
                <w:b w:val="0"/>
                <w:bCs w:val="0"/>
                <w:color w:val="auto"/>
                <w:sz w:val="18"/>
                <w:szCs w:val="18"/>
                <w:lang w:eastAsia="zh-CN"/>
              </w:rPr>
              <w:t>：贺州市自然资源局专项规划科科员</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t>姓名：</w:t>
            </w:r>
            <w:r>
              <w:rPr>
                <w:rFonts w:hint="eastAsia" w:ascii="宋体" w:hAnsi="宋体" w:eastAsia="宋体" w:cs="宋体"/>
                <w:b w:val="0"/>
                <w:bCs w:val="0"/>
                <w:color w:val="auto"/>
                <w:sz w:val="18"/>
                <w:szCs w:val="18"/>
                <w:lang w:eastAsia="zh-CN"/>
              </w:rPr>
              <w:t>罗思思</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t>单位和职务</w:t>
            </w:r>
            <w:r>
              <w:rPr>
                <w:rFonts w:hint="eastAsia" w:ascii="宋体" w:hAnsi="宋体" w:eastAsia="宋体" w:cs="宋体"/>
                <w:b w:val="0"/>
                <w:bCs w:val="0"/>
                <w:color w:val="auto"/>
                <w:sz w:val="18"/>
                <w:szCs w:val="18"/>
                <w:lang w:eastAsia="zh-CN"/>
              </w:rPr>
              <w:t>：贺州市自然资源局专项规划科科员</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b w:val="0"/>
          <w:bCs w:val="0"/>
          <w:color w:val="auto"/>
          <w:sz w:val="32"/>
          <w:szCs w:val="32"/>
          <w:highlight w:val="none"/>
          <w:lang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黑体" w:cs="黑体"/>
          <w:b w:val="0"/>
          <w:bCs w:val="0"/>
          <w:color w:val="auto"/>
          <w:sz w:val="32"/>
          <w:szCs w:val="32"/>
          <w:highlight w:val="none"/>
        </w:rPr>
      </w:pPr>
      <w:r>
        <w:rPr>
          <w:rFonts w:hint="eastAsia" w:ascii="Times New Roman" w:hAnsi="Times New Roman" w:eastAsia="黑体" w:cs="黑体"/>
          <w:b w:val="0"/>
          <w:bCs w:val="0"/>
          <w:color w:val="auto"/>
          <w:sz w:val="32"/>
          <w:szCs w:val="32"/>
          <w:highlight w:val="none"/>
          <w:lang w:eastAsia="zh-CN"/>
        </w:rPr>
        <w:t>一、</w:t>
      </w:r>
      <w:r>
        <w:rPr>
          <w:rFonts w:hint="eastAsia" w:ascii="Times New Roman" w:hAnsi="Times New Roman" w:eastAsia="黑体" w:cs="黑体"/>
          <w:b w:val="0"/>
          <w:bCs w:val="0"/>
          <w:color w:val="auto"/>
          <w:sz w:val="32"/>
          <w:szCs w:val="32"/>
          <w:highlight w:val="none"/>
        </w:rPr>
        <w:t>项目基本情况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方正楷体_GB2312" w:cs="方正楷体_GB2312"/>
          <w:b w:val="0"/>
          <w:bCs w:val="0"/>
          <w:color w:val="auto"/>
          <w:sz w:val="32"/>
          <w:szCs w:val="32"/>
        </w:rPr>
      </w:pPr>
      <w:r>
        <w:rPr>
          <w:rFonts w:hint="eastAsia" w:ascii="Times New Roman" w:hAnsi="Times New Roman" w:eastAsia="方正楷体_GB2312" w:cs="方正楷体_GB2312"/>
          <w:b w:val="0"/>
          <w:bCs w:val="0"/>
          <w:color w:val="auto"/>
          <w:sz w:val="32"/>
          <w:szCs w:val="32"/>
        </w:rPr>
        <w:t>（一）项目概况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ascii="Times New Roman" w:hAnsi="Times New Roman" w:eastAsia="仿宋_GB2312" w:cs="Times New Roman"/>
          <w:b w:val="0"/>
          <w:bCs w:val="0"/>
          <w:color w:val="auto"/>
          <w:sz w:val="32"/>
          <w:szCs w:val="32"/>
        </w:rPr>
      </w:pPr>
      <w:r>
        <w:rPr>
          <w:rFonts w:hint="eastAsia" w:ascii="Times New Roman" w:hAnsi="Times New Roman" w:eastAsia="仿宋_GB2312" w:cs="仿宋_GB2312"/>
          <w:b w:val="0"/>
          <w:bCs w:val="0"/>
          <w:color w:val="auto"/>
          <w:sz w:val="32"/>
          <w:szCs w:val="32"/>
          <w:lang w:val="en-US" w:eastAsia="zh-CN"/>
        </w:rPr>
        <w:t>1.</w:t>
      </w:r>
      <w:r>
        <w:rPr>
          <w:rFonts w:hint="eastAsia" w:ascii="Times New Roman" w:hAnsi="Times New Roman" w:eastAsia="仿宋_GB2312" w:cs="仿宋_GB2312"/>
          <w:b w:val="0"/>
          <w:bCs w:val="0"/>
          <w:color w:val="auto"/>
          <w:sz w:val="32"/>
          <w:szCs w:val="32"/>
        </w:rPr>
        <w:t>立项背景依据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lang w:val="en-US" w:eastAsia="zh-CN"/>
        </w:rPr>
        <w:t>贺州市自2014年获得“广西园林城市”称号以来，全市城市园林绿化事业得到快速发展，贺州市以实施城市绿地建设增绿工程、实施生态环境和建设改造工程、实施人居环境建设工程等5大工程为抓手，积极推进国家园林城市创建，水环境综合治理工作稳步推进。</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eastAsia="zh-CN"/>
        </w:rPr>
      </w:pPr>
      <w:r>
        <w:rPr>
          <w:rFonts w:hint="eastAsia" w:ascii="Times New Roman" w:hAnsi="Times New Roman" w:eastAsia="仿宋_GB2312" w:cs="仿宋_GB2312"/>
          <w:b w:val="0"/>
          <w:bCs w:val="0"/>
          <w:color w:val="auto"/>
          <w:sz w:val="32"/>
          <w:szCs w:val="32"/>
          <w:lang w:eastAsia="zh-CN"/>
        </w:rPr>
        <w:t>根据《国家园林城市系列申报评审管理办法》《自治区住房城乡建设厅关于做好国家园林城市系列申报工作的函及处理笺》《自治区住房城乡建设厅关于做好国家园林城市系列创建及申报工作的函（桂建函〔2018〕134号）》，贺州市正在创建国家园林城市，着力</w:t>
      </w:r>
      <w:r>
        <w:rPr>
          <w:rFonts w:hint="eastAsia" w:ascii="Times New Roman" w:hAnsi="Times New Roman" w:eastAsia="仿宋_GB2312" w:cs="仿宋_GB2312"/>
          <w:b w:val="0"/>
          <w:bCs w:val="0"/>
          <w:color w:val="auto"/>
          <w:sz w:val="32"/>
          <w:szCs w:val="32"/>
        </w:rPr>
        <w:t>改善城市人居环境，</w:t>
      </w:r>
      <w:r>
        <w:rPr>
          <w:rFonts w:hint="eastAsia" w:ascii="Times New Roman" w:hAnsi="Times New Roman" w:eastAsia="仿宋_GB2312" w:cs="仿宋_GB2312"/>
          <w:b w:val="0"/>
          <w:bCs w:val="0"/>
          <w:color w:val="auto"/>
          <w:sz w:val="32"/>
          <w:szCs w:val="32"/>
          <w:lang w:eastAsia="zh-CN"/>
        </w:rPr>
        <w:t>提升</w:t>
      </w:r>
      <w:r>
        <w:rPr>
          <w:rFonts w:hint="eastAsia" w:ascii="Times New Roman" w:hAnsi="Times New Roman" w:eastAsia="仿宋_GB2312" w:cs="仿宋_GB2312"/>
          <w:b w:val="0"/>
          <w:bCs w:val="0"/>
          <w:color w:val="auto"/>
          <w:sz w:val="32"/>
          <w:szCs w:val="32"/>
        </w:rPr>
        <w:t>城市形象</w:t>
      </w:r>
      <w:r>
        <w:rPr>
          <w:rFonts w:hint="eastAsia" w:ascii="Times New Roman" w:hAnsi="Times New Roman" w:eastAsia="仿宋_GB2312" w:cs="仿宋_GB2312"/>
          <w:b w:val="0"/>
          <w:bCs w:val="0"/>
          <w:color w:val="auto"/>
          <w:sz w:val="32"/>
          <w:szCs w:val="32"/>
          <w:lang w:eastAsia="zh-CN"/>
        </w:rPr>
        <w:t>。</w:t>
      </w:r>
      <w:r>
        <w:rPr>
          <w:rFonts w:hint="eastAsia" w:ascii="Times New Roman" w:hAnsi="Times New Roman" w:eastAsia="仿宋_GB2312" w:cs="仿宋_GB2312"/>
          <w:b w:val="0"/>
          <w:bCs w:val="0"/>
          <w:color w:val="auto"/>
          <w:sz w:val="32"/>
          <w:szCs w:val="32"/>
        </w:rPr>
        <w:t>为</w:t>
      </w:r>
      <w:r>
        <w:rPr>
          <w:rFonts w:hint="eastAsia" w:ascii="Times New Roman" w:hAnsi="Times New Roman" w:eastAsia="仿宋_GB2312" w:cs="仿宋_GB2312"/>
          <w:b w:val="0"/>
          <w:bCs w:val="0"/>
          <w:color w:val="auto"/>
          <w:sz w:val="32"/>
          <w:szCs w:val="32"/>
          <w:lang w:eastAsia="zh-CN"/>
        </w:rPr>
        <w:t>应对国土空间规划体系建立背景下实现</w:t>
      </w:r>
      <w:r>
        <w:rPr>
          <w:rFonts w:hint="eastAsia" w:ascii="Times New Roman" w:hAnsi="Times New Roman" w:eastAsia="仿宋_GB2312" w:cs="仿宋_GB2312"/>
          <w:b w:val="0"/>
          <w:bCs w:val="0"/>
          <w:color w:val="auto"/>
          <w:sz w:val="32"/>
          <w:szCs w:val="32"/>
        </w:rPr>
        <w:t>创建国家园林城市</w:t>
      </w:r>
      <w:r>
        <w:rPr>
          <w:rFonts w:hint="eastAsia" w:ascii="Times New Roman" w:hAnsi="Times New Roman" w:eastAsia="仿宋_GB2312" w:cs="仿宋_GB2312"/>
          <w:b w:val="0"/>
          <w:bCs w:val="0"/>
          <w:color w:val="auto"/>
          <w:sz w:val="32"/>
          <w:szCs w:val="32"/>
          <w:lang w:eastAsia="zh-CN"/>
        </w:rPr>
        <w:t>既定目标，落实贺州市国土空间总体规划控制线划定和规划分区成果，对城市蓝线做到管得好、控得住，特编制《</w:t>
      </w:r>
      <w:r>
        <w:rPr>
          <w:rFonts w:hint="eastAsia" w:ascii="Times New Roman" w:hAnsi="Times New Roman" w:eastAsia="仿宋_GB2312" w:cs="仿宋_GB2312"/>
          <w:b w:val="0"/>
          <w:bCs w:val="0"/>
          <w:color w:val="auto"/>
          <w:sz w:val="32"/>
          <w:szCs w:val="32"/>
        </w:rPr>
        <w:t>贺州市蓝线专项规划</w:t>
      </w:r>
      <w:r>
        <w:rPr>
          <w:rFonts w:hint="eastAsia" w:ascii="Times New Roman" w:hAnsi="Times New Roman" w:eastAsia="仿宋_GB2312" w:cs="仿宋_GB2312"/>
          <w:b w:val="0"/>
          <w:bCs w:val="0"/>
          <w:color w:val="auto"/>
          <w:sz w:val="32"/>
          <w:szCs w:val="32"/>
          <w:lang w:eastAsia="zh-CN"/>
        </w:rPr>
        <w:t>》。</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eastAsia="zh-CN"/>
        </w:rPr>
        <w:t>该项目于</w:t>
      </w:r>
      <w:r>
        <w:rPr>
          <w:rFonts w:hint="eastAsia" w:ascii="Times New Roman" w:hAnsi="Times New Roman" w:eastAsia="仿宋_GB2312" w:cs="仿宋_GB2312"/>
          <w:b w:val="0"/>
          <w:bCs w:val="0"/>
          <w:color w:val="auto"/>
          <w:sz w:val="32"/>
          <w:szCs w:val="32"/>
          <w:lang w:val="en-US" w:eastAsia="zh-CN"/>
        </w:rPr>
        <w:t>2019年完成招投标工作，招标文件编号为HZZFCG2019F196，成交日期为2019年09月24日，总成交金额为89万元（人民币）。</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2.项目内容</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规划主要包括以下几个方面的重点内容：</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通过对现状水系调查分析，进一步研究城市建设用地布局与水系关系，提出需要保护和控制的江、河、湖、库、渠和湿地等主要地表水体，确定其用地界定范围，提出保护要求。</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结合上位规划，分层次制定水系方案。利用GIS水文模块进行了汇流分析，按汇水面积的大小将水系划分为三级，各级别水系对应于不同的控制宽度、给予不同的管控要求。</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统筹区域水系补水，严控汇水区水质污染。以月度为单位计算河道自然水量平衡，根据“水系统”规划采用的维稳态水质模型模拟成果确定补水水源和补水方案，主要包括引水、再生水补水、引水与再生水联合补水等方式。</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衔接海绵城市，确保生态共建。保护河流、湖泊等天然“海绵体”，增加人工“海绵体”，因此可结合规划绿地增加水面，控制绿地的水面率。本次蓝线规划根据水绿结合的规划思路同时征求相关部门意见，规划大型绿地(大于4公顷)内控制其河湖水面率满足《海绵城市专项规划》要求。</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3.资金用途及目的</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用于支付《贺州市蓝线专项规划》编制费用，确保编制工作保质保量完成。</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sz w:val="32"/>
          <w:szCs w:val="32"/>
          <w:highlight w:val="none"/>
        </w:rPr>
      </w:pPr>
      <w:r>
        <w:rPr>
          <w:rFonts w:hint="eastAsia" w:ascii="Times New Roman" w:hAnsi="Times New Roman" w:eastAsia="仿宋_GB2312" w:cs="仿宋_GB2312"/>
          <w:b w:val="0"/>
          <w:bCs w:val="0"/>
          <w:sz w:val="32"/>
          <w:szCs w:val="32"/>
          <w:highlight w:val="none"/>
        </w:rPr>
        <w:t>（二）项目资金管理使用情况</w:t>
      </w:r>
    </w:p>
    <w:p>
      <w:pPr>
        <w:pStyle w:val="4"/>
        <w:spacing w:line="560" w:lineRule="exact"/>
        <w:ind w:firstLine="640" w:firstLineChars="200"/>
        <w:rPr>
          <w:rFonts w:hint="eastAsia" w:ascii="Times New Roman" w:hAnsi="Times New Roman" w:eastAsia="仿宋_GB2312" w:cs="仿宋_GB2312"/>
          <w:b w:val="0"/>
          <w:bCs w:val="0"/>
          <w:sz w:val="32"/>
          <w:szCs w:val="32"/>
        </w:rPr>
      </w:pPr>
      <w:r>
        <w:rPr>
          <w:rFonts w:hint="eastAsia" w:ascii="Times New Roman" w:hAnsi="Times New Roman" w:eastAsia="仿宋_GB2312" w:cs="仿宋_GB2312"/>
          <w:b w:val="0"/>
          <w:bCs w:val="0"/>
          <w:sz w:val="32"/>
          <w:szCs w:val="32"/>
        </w:rPr>
        <w:t>项目</w:t>
      </w:r>
      <w:r>
        <w:rPr>
          <w:rFonts w:ascii="Times New Roman" w:hAnsi="Times New Roman" w:eastAsia="仿宋_GB2312" w:cs="仿宋_GB2312"/>
          <w:b w:val="0"/>
          <w:bCs w:val="0"/>
          <w:sz w:val="32"/>
          <w:szCs w:val="32"/>
        </w:rPr>
        <w:t>2</w:t>
      </w:r>
      <w:r>
        <w:rPr>
          <w:rFonts w:ascii="Times New Roman" w:hAnsi="Times New Roman" w:eastAsia="仿宋_GB2312" w:cs="仿宋_GB2312"/>
          <w:b w:val="0"/>
          <w:bCs w:val="0"/>
          <w:color w:val="auto"/>
          <w:sz w:val="32"/>
          <w:szCs w:val="32"/>
        </w:rPr>
        <w:t>02</w:t>
      </w:r>
      <w:r>
        <w:rPr>
          <w:rFonts w:hint="eastAsia" w:ascii="Times New Roman" w:hAnsi="Times New Roman" w:eastAsia="仿宋_GB2312" w:cs="仿宋_GB2312"/>
          <w:b w:val="0"/>
          <w:bCs w:val="0"/>
          <w:color w:val="auto"/>
          <w:sz w:val="32"/>
          <w:szCs w:val="32"/>
          <w:lang w:val="en-US" w:eastAsia="zh-CN"/>
        </w:rPr>
        <w:t>3</w:t>
      </w:r>
      <w:r>
        <w:rPr>
          <w:rFonts w:hint="eastAsia" w:ascii="Times New Roman" w:hAnsi="Times New Roman" w:eastAsia="仿宋_GB2312" w:cs="仿宋_GB2312"/>
          <w:b w:val="0"/>
          <w:bCs w:val="0"/>
          <w:color w:val="auto"/>
          <w:sz w:val="32"/>
          <w:szCs w:val="32"/>
        </w:rPr>
        <w:t>年度总共安排落实财政资金</w:t>
      </w:r>
      <w:r>
        <w:rPr>
          <w:rFonts w:hint="eastAsia" w:ascii="Times New Roman" w:hAnsi="Times New Roman" w:eastAsia="仿宋_GB2312" w:cs="仿宋_GB2312"/>
          <w:b w:val="0"/>
          <w:bCs w:val="0"/>
          <w:color w:val="auto"/>
          <w:sz w:val="32"/>
          <w:szCs w:val="32"/>
          <w:lang w:val="en-US" w:eastAsia="zh-CN"/>
        </w:rPr>
        <w:t>62.3</w:t>
      </w:r>
      <w:r>
        <w:rPr>
          <w:rFonts w:hint="eastAsia" w:ascii="Times New Roman" w:hAnsi="Times New Roman" w:eastAsia="仿宋_GB2312" w:cs="仿宋_GB2312"/>
          <w:b w:val="0"/>
          <w:bCs w:val="0"/>
          <w:color w:val="auto"/>
          <w:sz w:val="32"/>
          <w:szCs w:val="32"/>
        </w:rPr>
        <w:t>万元，</w:t>
      </w:r>
      <w:r>
        <w:rPr>
          <w:rFonts w:hint="eastAsia" w:ascii="Times New Roman" w:hAnsi="Times New Roman" w:eastAsia="仿宋_GB2312" w:cs="仿宋_GB2312"/>
          <w:b w:val="0"/>
          <w:bCs w:val="0"/>
          <w:color w:val="auto"/>
          <w:sz w:val="32"/>
          <w:szCs w:val="32"/>
          <w:lang w:eastAsia="zh-CN"/>
        </w:rPr>
        <w:t>实际到位</w:t>
      </w:r>
      <w:r>
        <w:rPr>
          <w:rFonts w:hint="eastAsia" w:ascii="Times New Roman" w:hAnsi="Times New Roman" w:eastAsia="仿宋_GB2312" w:cs="仿宋_GB2312"/>
          <w:b w:val="0"/>
          <w:bCs w:val="0"/>
          <w:color w:val="auto"/>
          <w:sz w:val="32"/>
          <w:szCs w:val="32"/>
          <w:lang w:val="en-US" w:eastAsia="zh-CN"/>
        </w:rPr>
        <w:t>62.3万元。</w:t>
      </w:r>
      <w:r>
        <w:rPr>
          <w:rFonts w:hint="eastAsia" w:ascii="Times New Roman" w:hAnsi="Times New Roman" w:eastAsia="仿宋_GB2312" w:cs="仿宋_GB2312"/>
          <w:b w:val="0"/>
          <w:bCs w:val="0"/>
          <w:color w:val="auto"/>
          <w:sz w:val="32"/>
          <w:szCs w:val="32"/>
          <w:lang w:eastAsia="zh-CN"/>
        </w:rPr>
        <w:t>项目自</w:t>
      </w:r>
      <w:r>
        <w:rPr>
          <w:rFonts w:hint="eastAsia" w:ascii="Times New Roman" w:hAnsi="Times New Roman" w:eastAsia="仿宋_GB2312" w:cs="仿宋_GB2312"/>
          <w:b w:val="0"/>
          <w:bCs w:val="0"/>
          <w:color w:val="auto"/>
          <w:sz w:val="32"/>
          <w:szCs w:val="32"/>
          <w:lang w:val="en-US" w:eastAsia="zh-CN"/>
        </w:rPr>
        <w:t>2019年启动编制以来，经过了多轮现场踏勘和汇报交流工作，形成了中期成果。目前正结合贺州市国土空间总体规划、控制性详细规划、城建规划和创园工作部署开展规划衔接和修改工作</w:t>
      </w:r>
      <w:r>
        <w:rPr>
          <w:rFonts w:hint="eastAsia" w:ascii="Times New Roman" w:hAnsi="Times New Roman" w:eastAsia="仿宋_GB2312" w:cs="仿宋_GB2312"/>
          <w:b w:val="0"/>
          <w:bCs w:val="0"/>
          <w:color w:val="auto"/>
          <w:sz w:val="32"/>
          <w:szCs w:val="32"/>
          <w:highlight w:val="none"/>
          <w:lang w:val="en-US" w:eastAsia="zh-CN"/>
        </w:rPr>
        <w:t>。2019年</w:t>
      </w:r>
      <w:r>
        <w:rPr>
          <w:rFonts w:hint="eastAsia" w:ascii="Times New Roman" w:hAnsi="Times New Roman" w:eastAsia="仿宋_GB2312" w:cs="仿宋_GB2312"/>
          <w:b w:val="0"/>
          <w:bCs w:val="0"/>
          <w:color w:val="auto"/>
          <w:sz w:val="32"/>
          <w:szCs w:val="32"/>
          <w:lang w:val="en-US" w:eastAsia="zh-CN"/>
        </w:rPr>
        <w:t>根据进度已支付26.7万元编制费，2020年-2022年度的编制费未支付，共有62.3万元未支付，</w:t>
      </w:r>
      <w:r>
        <w:rPr>
          <w:rFonts w:hint="eastAsia" w:ascii="Times New Roman" w:hAnsi="Times New Roman" w:eastAsia="仿宋_GB2312" w:cs="仿宋_GB2312"/>
          <w:b w:val="0"/>
          <w:bCs w:val="0"/>
          <w:color w:val="auto"/>
          <w:sz w:val="32"/>
          <w:szCs w:val="32"/>
        </w:rPr>
        <w:t>项目资金根据财务管理进行专款专用，各项支出符合项目进度及财务制度管理要求。</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sz w:val="32"/>
          <w:szCs w:val="32"/>
          <w:lang w:eastAsia="zh-CN"/>
        </w:rPr>
      </w:pPr>
      <w:r>
        <w:rPr>
          <w:rFonts w:hint="eastAsia" w:ascii="Times New Roman" w:hAnsi="Times New Roman" w:eastAsia="仿宋_GB2312" w:cs="仿宋_GB2312"/>
          <w:b w:val="0"/>
          <w:bCs w:val="0"/>
          <w:sz w:val="32"/>
          <w:szCs w:val="32"/>
        </w:rPr>
        <w:t>（三）</w:t>
      </w:r>
      <w:r>
        <w:rPr>
          <w:rFonts w:hint="eastAsia" w:ascii="Times New Roman" w:hAnsi="Times New Roman" w:eastAsia="仿宋_GB2312" w:cs="仿宋_GB2312"/>
          <w:b w:val="0"/>
          <w:bCs w:val="0"/>
          <w:sz w:val="32"/>
          <w:szCs w:val="32"/>
          <w:lang w:eastAsia="zh-CN"/>
        </w:rPr>
        <w:t>项目组织管理情况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1.项目组织情况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项目实施主体为贺州市自然资源局，项目于2019年完成服务采购，成交日期为2019年9月24日，成交供应商为华蓝设计(集团)有限公司（以下简称华蓝设计公司），2019年10月签订合同。</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2020年1月，华蓝设计公司与市自然资源局及各有关单位进行了汇报交流，提出蓝线划定和成果深度、后续需要进一步完善的工作建议。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2020年7月，华蓝设计公司提交中期讨论稿，在初稿基础上进一步完善。</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2020年8月-2021年4月，结合各部门意见和国土空间规划编制进度补充收集资料，调整优化成果内容。</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2021年4月华蓝设计公司提交征求意见稿，包含文本、图则、说明书。</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2021年5月-2022年10月，受国土空间规划编制进度影响，文本、图件编制工作暂缓，重点开展对接协调及衔接工作。</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2022年11月，市自然资源局会同水利局、华蓝设计公司进行现场踏勘，了解涉水工程项目进展和水体变化情况。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2022年12月至今，结合国土空间规划三线划定和开发边界内规划分区进一步修改。</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2.项目管理情况</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按照《中共中央 国务院关于建立国土空间规划体系并监督实施的若干意见》开展编制和审查工作，对华蓝设计公司提交的各阶段成果以国土空间总体规划和多规合一各项要求、一张图系统要求为依据进行研究讨论，为后续审查做好前期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二、项目</w:t>
      </w:r>
      <w:r>
        <w:rPr>
          <w:rFonts w:hint="eastAsia" w:ascii="黑体" w:hAnsi="黑体" w:eastAsia="黑体" w:cs="黑体"/>
          <w:b w:val="0"/>
          <w:bCs w:val="0"/>
          <w:color w:val="auto"/>
          <w:sz w:val="32"/>
          <w:szCs w:val="32"/>
        </w:rPr>
        <w:t>绩效分析及评价结论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（一）项目产出完成情况分析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1.产出（满分50分，得44分）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（1）数量指标（满分20分，得20分）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指标内容：一套成果。包括《贺州市蓝线专项规划》文本、图纸（含管控图则）、说明书</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评价结论：规划成果已完成文本、图纸、说明书编制，形成一套成果。</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质量指标（满分10分，得10分）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指标内容：明确管控坐标和指标，符合城市建设需要和用途管制要求。</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评价结论：提出管理区域，明确矢量范围、管理规定，形成管控图则，为建立数据库做准备。专项规划受国土空间总体规划编制进度影响，蓝线矢量范围待进一步衔接，既要落实上位规划，也要体现实际需求。</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（3）时效指标（满分10分，得8分）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指标内容：原定2022年12月31日完成《贺州市蓝线专项规划》。</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评价结论：目前已完成文本、图纸、说明书主体内容。正在对接国土空间规划，进一步修改完善，为开展相关部门意见征集、召开专家评审会做准备。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（4）成本指标（满分10分，得10分）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指标内容：按实际完成阶段支付编制费用。</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评价结论：已按进度支付26.7万元。</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（二）项目效益情况分析。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1.效益指标（满分30分，得30分）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（1）经济效益指标（满分10分，得10分）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指标内容：明确功能，实现线界落地，明确用地改造的可能性，避免重复建设。</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评价结论：已完成中心城区范围的蓝线划定，与三调数据、国土空间总体规划完成衔接，优化水系岸线空间，提升沿线土地利用价值，推动城市提质增效。</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（2）社会效益指标（满分10分，得10分）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指标内容：确保城市水域发挥防汛、除涝、调蓄、灌溉作用，保障城市安全，达到国家园林城市建设指标。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评价结论：结合创建国家园林城市项目清单实行，与三调数据、国土空间总体规划完成衔接。</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（3）生态效益指标（满分5分，得5分）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指标内容：优化城市环城水系，延续水系生态服务功能与价值；</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评价结论：划定中心城区水域控制线541.72公顷。已完成中心城区范围的蓝线划定，与三调数据、国土空间总体规划完成衔接。</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（4）可持续影响指标（满分5分，得5分）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指标内容：实现水系连通、功能协调、景观和谐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评价结论：保证水域面积不缩小、水质不下降、防洪能力不降低的要求，束和规范蓝线范围内的各种建设活动和行为，有效防止城市水系功能退化，构建城市可持续发展的水生态环境。已完成中心城区范围的蓝线划定，与三调数据、国土空间总体规划完成衔接。</w:t>
      </w:r>
    </w:p>
    <w:p>
      <w:pPr>
        <w:pStyle w:val="4"/>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项目可持续性分析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贺州市蓝线专项规划》编制完成后有利于加强对城市水系的保护与管理，保障城市供水、防洪防涝和通航安全，改善城市人居生态环境，提升城市功能，促进城市健康、协调和可持续发展，贺州市自然资源局负责本行政区域内的城市蓝线管理工作，在城市蓝线内进行各项建设，必须符合经批准的国土空间规划。</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贺州市自然资源局定期对城市蓝线管理情况进行监督检查。违反国土空间规划占用城市蓝线的，由贺州市自然资源执法部门按照相关法律法规进行处罚。</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（四）项目绩效指标未完成原因分析。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项目绩效未完成的主要原因为主要有以下几个方面：</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上位规划编制进度滞后</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贺州市蓝线专项规划》启动初期所依据的上位规划为《贺州市城市总体规划（2016-2035年）》。随着国土空间规划体系的建立，上位规划转变为《贺州市国土空间总体规划》，上位规划要求发生了巨大变化。受规划理念、技术手段、多方博弈等客观因素影响，国土空间总体规划编制普遍滞后，直接影响本项目的三条控制线划定、中心城区规划分区等成果完成及下发相对略晚，受此影响本项目编制工作推进较原定计划相对滞后。</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蓝绿空间统计口径需协调统筹</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鉴于最终下发的城镇开发边界对空间规模紧约束的限制，城镇开发边界内的蓝绿空间统计指标无法达到园林城市申报要求，故规划研究范围和蓝绿空间统计口径需在国土空间总体规划框架下与绿线专项规划进一步衔接统筹。</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管控要素和管控原则尚待在空间中扎实落地</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根据相关要求，规划最终成果需与总体规划和详细规划做好衔接，在编制和审查过程中应加强与有关国土空间规划的衔接及“一张图”的核对，批复后纳入同级国土空间基础信息平台，叠加到国土空间规划“一张图”上。</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综上，《贺州市蓝线专项规划》虽已完成了阶段成果的编制，但仍需在国土空间总体规划强制性要求明确后进一步细化落实用途管制相关要求。</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rPr>
        <w:t>（五）评价结果和评价结论</w:t>
      </w:r>
      <w:r>
        <w:rPr>
          <w:rFonts w:hint="eastAsia" w:ascii="Times New Roman" w:hAnsi="Times New Roman" w:eastAsia="仿宋_GB2312" w:cs="仿宋_GB2312"/>
          <w:b w:val="0"/>
          <w:bCs w:val="0"/>
          <w:color w:val="auto"/>
          <w:sz w:val="32"/>
          <w:szCs w:val="32"/>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自评总分为88</w:t>
      </w:r>
      <w:bookmarkStart w:id="0" w:name="_GoBack"/>
      <w:bookmarkEnd w:id="0"/>
      <w:r>
        <w:rPr>
          <w:rFonts w:hint="eastAsia" w:ascii="Times New Roman" w:hAnsi="Times New Roman" w:eastAsia="仿宋_GB2312" w:cs="仿宋_GB2312"/>
          <w:b w:val="0"/>
          <w:bCs w:val="0"/>
          <w:color w:val="auto"/>
          <w:sz w:val="32"/>
          <w:szCs w:val="32"/>
          <w:lang w:val="en-US" w:eastAsia="zh-CN"/>
        </w:rPr>
        <w:t>分，评价结果为良好。</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三、经验总结、存在问题及意见建议</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rPr>
        <w:t>（一）主要经验及做法</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跟进国土空间规划编制工作动态，了解强制性内容编制成果和调整情况，结合贺州市创园工作相关要求，确保关键指标在《贺州市蓝线专项规划》成果中得到落实。</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lang w:eastAsia="zh-CN"/>
        </w:rPr>
        <w:t>（</w:t>
      </w:r>
      <w:r>
        <w:rPr>
          <w:rFonts w:hint="eastAsia" w:ascii="Times New Roman" w:hAnsi="Times New Roman" w:eastAsia="仿宋_GB2312" w:cs="仿宋_GB2312"/>
          <w:b w:val="0"/>
          <w:bCs w:val="0"/>
          <w:color w:val="auto"/>
          <w:sz w:val="32"/>
          <w:szCs w:val="32"/>
          <w:lang w:val="en-US" w:eastAsia="zh-CN"/>
        </w:rPr>
        <w:t>二</w:t>
      </w:r>
      <w:r>
        <w:rPr>
          <w:rFonts w:hint="eastAsia" w:ascii="Times New Roman" w:hAnsi="Times New Roman" w:eastAsia="仿宋_GB2312" w:cs="仿宋_GB2312"/>
          <w:b w:val="0"/>
          <w:bCs w:val="0"/>
          <w:color w:val="auto"/>
          <w:sz w:val="32"/>
          <w:szCs w:val="32"/>
          <w:lang w:eastAsia="zh-CN"/>
        </w:rPr>
        <w:t>）</w:t>
      </w:r>
      <w:r>
        <w:rPr>
          <w:rFonts w:hint="eastAsia" w:ascii="Times New Roman" w:hAnsi="Times New Roman" w:eastAsia="仿宋_GB2312" w:cs="仿宋_GB2312"/>
          <w:b w:val="0"/>
          <w:bCs w:val="0"/>
          <w:color w:val="auto"/>
          <w:sz w:val="32"/>
          <w:szCs w:val="32"/>
        </w:rPr>
        <w:t>存在问题及原因分析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目前阶段成果尚未满足纳入国土空间规划“一张图”管理的相关要求，待与国土空间规划作进一步衔接。</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lang w:eastAsia="zh-CN"/>
        </w:rPr>
        <w:t>（</w:t>
      </w:r>
      <w:r>
        <w:rPr>
          <w:rFonts w:hint="eastAsia" w:ascii="Times New Roman" w:hAnsi="Times New Roman" w:eastAsia="仿宋_GB2312" w:cs="仿宋_GB2312"/>
          <w:b w:val="0"/>
          <w:bCs w:val="0"/>
          <w:color w:val="auto"/>
          <w:sz w:val="32"/>
          <w:szCs w:val="32"/>
          <w:lang w:val="en-US" w:eastAsia="zh-CN"/>
        </w:rPr>
        <w:t>三</w:t>
      </w:r>
      <w:r>
        <w:rPr>
          <w:rFonts w:hint="eastAsia" w:ascii="Times New Roman" w:hAnsi="Times New Roman" w:eastAsia="仿宋_GB2312" w:cs="仿宋_GB2312"/>
          <w:b w:val="0"/>
          <w:bCs w:val="0"/>
          <w:color w:val="auto"/>
          <w:sz w:val="32"/>
          <w:szCs w:val="32"/>
          <w:lang w:eastAsia="zh-CN"/>
        </w:rPr>
        <w:t>）</w:t>
      </w:r>
      <w:r>
        <w:rPr>
          <w:rFonts w:hint="eastAsia" w:ascii="Times New Roman" w:hAnsi="Times New Roman" w:eastAsia="仿宋_GB2312" w:cs="仿宋_GB2312"/>
          <w:b w:val="0"/>
          <w:bCs w:val="0"/>
          <w:color w:val="auto"/>
          <w:sz w:val="32"/>
          <w:szCs w:val="32"/>
        </w:rPr>
        <w:t>意见建议。</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b w:val="0"/>
          <w:bCs w:val="0"/>
          <w:color w:val="auto"/>
          <w:sz w:val="32"/>
          <w:szCs w:val="32"/>
          <w:lang w:val="en-US" w:eastAsia="zh-CN"/>
        </w:rPr>
        <w:t>紧跟国土空间规划编制进度，按照</w:t>
      </w:r>
      <w:r>
        <w:rPr>
          <w:rFonts w:hint="eastAsia" w:ascii="Times New Roman" w:hAnsi="Times New Roman" w:eastAsia="仿宋_GB2312" w:cs="仿宋_GB2312"/>
          <w:color w:val="auto"/>
          <w:sz w:val="32"/>
          <w:szCs w:val="32"/>
          <w:lang w:val="en-US" w:eastAsia="zh-CN"/>
        </w:rPr>
        <w:t>最新要求及时完善规划内容。</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四、</w:t>
      </w:r>
      <w:r>
        <w:rPr>
          <w:rFonts w:hint="eastAsia" w:ascii="黑体" w:hAnsi="黑体" w:eastAsia="黑体" w:cs="黑体"/>
          <w:color w:val="auto"/>
          <w:sz w:val="32"/>
          <w:szCs w:val="32"/>
        </w:rPr>
        <w:t>其他需要说明的问题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规划启动至今已近4年，编制周期长，须及时跟进城建进度，将城市建设中蓝绿空间的变化及时反映至成果中。</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BE6E49-DC51-44B9-90F1-36F212A1A7C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663CA42E-74C9-49F7-9E68-C2BCC789EBD9}"/>
  </w:font>
  <w:font w:name="方正仿宋_GB2312">
    <w:panose1 w:val="02000000000000000000"/>
    <w:charset w:val="86"/>
    <w:family w:val="auto"/>
    <w:pitch w:val="default"/>
    <w:sig w:usb0="00000000" w:usb1="00000000" w:usb2="00000000" w:usb3="00000000" w:csb0="00000000" w:csb1="00000000"/>
    <w:embedRegular r:id="rId3" w:fontKey="{AF5AE296-8452-4E9A-940B-3B9F5778B2FB}"/>
  </w:font>
  <w:font w:name="方正楷体_GB2312">
    <w:altName w:val="宋体"/>
    <w:panose1 w:val="02000000000000000000"/>
    <w:charset w:val="86"/>
    <w:family w:val="auto"/>
    <w:pitch w:val="default"/>
    <w:sig w:usb0="00000000" w:usb1="00000000" w:usb2="00000000" w:usb3="00000000" w:csb0="00000000" w:csb1="00000000"/>
    <w:embedRegular r:id="rId4" w:fontKey="{4EB958CA-0E84-42DF-BF46-742391B9C411}"/>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embedRegular r:id="rId5" w:fontKey="{DDE12167-36FA-4106-BD0B-5C900714642E}"/>
  </w:font>
  <w:font w:name="楷体_GB2312">
    <w:altName w:val="楷体"/>
    <w:panose1 w:val="02010609030101010101"/>
    <w:charset w:val="86"/>
    <w:family w:val="auto"/>
    <w:pitch w:val="default"/>
    <w:sig w:usb0="00000000" w:usb1="00000000" w:usb2="00000000" w:usb3="00000000" w:csb0="00040000" w:csb1="00000000"/>
  </w:font>
  <w:font w:name="方正仿宋_GB2312">
    <w:panose1 w:val="02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156529"/>
    <w:multiLevelType w:val="singleLevel"/>
    <w:tmpl w:val="9B156529"/>
    <w:lvl w:ilvl="0" w:tentative="0">
      <w:start w:val="1"/>
      <w:numFmt w:val="decimal"/>
      <w:suff w:val="nothing"/>
      <w:lvlText w:val="%1、"/>
      <w:lvlJc w:val="left"/>
    </w:lvl>
  </w:abstractNum>
  <w:abstractNum w:abstractNumId="1">
    <w:nsid w:val="C03B8778"/>
    <w:multiLevelType w:val="singleLevel"/>
    <w:tmpl w:val="C03B8778"/>
    <w:lvl w:ilvl="0" w:tentative="0">
      <w:start w:val="2"/>
      <w:numFmt w:val="decimal"/>
      <w:suff w:val="nothing"/>
      <w:lvlText w:val="（%1）"/>
      <w:lvlJc w:val="left"/>
    </w:lvl>
  </w:abstractNum>
  <w:abstractNum w:abstractNumId="2">
    <w:nsid w:val="06E9F5FE"/>
    <w:multiLevelType w:val="singleLevel"/>
    <w:tmpl w:val="06E9F5FE"/>
    <w:lvl w:ilvl="0" w:tentative="0">
      <w:start w:val="3"/>
      <w:numFmt w:val="chineseCounting"/>
      <w:suff w:val="nothing"/>
      <w:lvlText w:val="（%1）"/>
      <w:lvlJc w:val="left"/>
      <w:rPr>
        <w:rFonts w:hint="eastAsia"/>
        <w:b/>
        <w:bC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2OWZjZThkYjEzOTJkOTRmMmIwNmI5ODdkZWVlMmQifQ=="/>
    <w:docVar w:name="KSO_WPS_MARK_KEY" w:val="e171a50d-abbf-4a1b-856a-160e401a3099"/>
  </w:docVars>
  <w:rsids>
    <w:rsidRoot w:val="00000000"/>
    <w:rsid w:val="056664B0"/>
    <w:rsid w:val="06F04642"/>
    <w:rsid w:val="09AC3A9C"/>
    <w:rsid w:val="09C21CCC"/>
    <w:rsid w:val="0B777B24"/>
    <w:rsid w:val="12833C7B"/>
    <w:rsid w:val="14D421C7"/>
    <w:rsid w:val="15485378"/>
    <w:rsid w:val="16F11180"/>
    <w:rsid w:val="18AF055F"/>
    <w:rsid w:val="19140C14"/>
    <w:rsid w:val="19527E56"/>
    <w:rsid w:val="1C497E5E"/>
    <w:rsid w:val="1D024DFC"/>
    <w:rsid w:val="1D182745"/>
    <w:rsid w:val="1E3E73CA"/>
    <w:rsid w:val="1ECE1C40"/>
    <w:rsid w:val="203F6352"/>
    <w:rsid w:val="2064414F"/>
    <w:rsid w:val="222F1E4B"/>
    <w:rsid w:val="230039B3"/>
    <w:rsid w:val="2424631C"/>
    <w:rsid w:val="244F2BDA"/>
    <w:rsid w:val="25777813"/>
    <w:rsid w:val="28DD7535"/>
    <w:rsid w:val="2B1227DD"/>
    <w:rsid w:val="2D2C7B74"/>
    <w:rsid w:val="2D8D7C9C"/>
    <w:rsid w:val="2DC64C6A"/>
    <w:rsid w:val="2EBC29C4"/>
    <w:rsid w:val="2FC3561A"/>
    <w:rsid w:val="31AE347F"/>
    <w:rsid w:val="32CD165C"/>
    <w:rsid w:val="33DB03A9"/>
    <w:rsid w:val="34416B1F"/>
    <w:rsid w:val="35112393"/>
    <w:rsid w:val="37FA4DC2"/>
    <w:rsid w:val="3928367E"/>
    <w:rsid w:val="3B75700C"/>
    <w:rsid w:val="3D2F0EAB"/>
    <w:rsid w:val="3DAC5F9D"/>
    <w:rsid w:val="3E4C4CEE"/>
    <w:rsid w:val="40BC7096"/>
    <w:rsid w:val="41C104B8"/>
    <w:rsid w:val="42D75E91"/>
    <w:rsid w:val="44B20165"/>
    <w:rsid w:val="4D3E2113"/>
    <w:rsid w:val="4EA8353F"/>
    <w:rsid w:val="4ECD0705"/>
    <w:rsid w:val="509F7A23"/>
    <w:rsid w:val="52786F2C"/>
    <w:rsid w:val="53DD0E57"/>
    <w:rsid w:val="5532742A"/>
    <w:rsid w:val="58011666"/>
    <w:rsid w:val="5A8D7113"/>
    <w:rsid w:val="62BE1E54"/>
    <w:rsid w:val="65D26342"/>
    <w:rsid w:val="6703068A"/>
    <w:rsid w:val="681C38A5"/>
    <w:rsid w:val="69874D90"/>
    <w:rsid w:val="69913E1E"/>
    <w:rsid w:val="6ACE03CC"/>
    <w:rsid w:val="6DE765BE"/>
    <w:rsid w:val="7350783A"/>
    <w:rsid w:val="75732DD8"/>
    <w:rsid w:val="759077BF"/>
    <w:rsid w:val="76B01B1F"/>
    <w:rsid w:val="793B39FE"/>
    <w:rsid w:val="7E65740D"/>
    <w:rsid w:val="7E84107C"/>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165</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2023-03-09T09:05:00Z</cp:lastPrinted>
  <dcterms:modified xsi:type="dcterms:W3CDTF">2023-03-15T01:53:26Z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FA0864301520443E81D38FDB34AC0242</vt:lpwstr>
  </property>
</Properties>
</file>