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firstLineChars="100"/>
        <w:rPr>
          <w:rFonts w:hint="eastAsia" w:ascii="宋体" w:hAnsi="宋体" w:eastAsia="宋体" w:cs="宋体"/>
          <w:sz w:val="32"/>
          <w:szCs w:val="32"/>
        </w:rPr>
      </w:pPr>
      <w:r>
        <w:rPr>
          <w:rFonts w:hint="eastAsia" w:ascii="宋体" w:hAnsi="宋体" w:eastAsia="宋体" w:cs="宋体"/>
          <w:sz w:val="32"/>
          <w:szCs w:val="32"/>
        </w:rPr>
        <w:t>附件</w:t>
      </w:r>
      <w:r>
        <w:rPr>
          <w:rFonts w:hint="eastAsia" w:ascii="宋体" w:hAnsi="宋体" w:eastAsia="宋体" w:cs="宋体"/>
          <w:sz w:val="32"/>
          <w:szCs w:val="32"/>
          <w:lang w:val="en-US" w:eastAsia="zh-CN"/>
        </w:rPr>
        <w:t>3</w:t>
      </w:r>
    </w:p>
    <w:p>
      <w:pPr>
        <w:ind w:right="85"/>
        <w:rPr>
          <w:rFonts w:cs="Times New Roman"/>
          <w:b/>
          <w:bCs/>
          <w:sz w:val="40"/>
          <w:szCs w:val="40"/>
        </w:rPr>
      </w:pPr>
    </w:p>
    <w:p>
      <w:pPr>
        <w:ind w:right="85"/>
        <w:rPr>
          <w:rFonts w:cs="Times New Roman"/>
          <w:b/>
          <w:bCs/>
          <w:sz w:val="40"/>
          <w:szCs w:val="40"/>
        </w:rPr>
      </w:pP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贺州市本级</w:t>
      </w:r>
      <w:r>
        <w:rPr>
          <w:rFonts w:hint="eastAsia" w:ascii="方正小标宋简体" w:hAnsi="方正小标宋简体" w:eastAsia="方正小标宋简体" w:cs="方正小标宋简体"/>
          <w:sz w:val="52"/>
          <w:szCs w:val="52"/>
          <w:lang w:eastAsia="zh-CN"/>
        </w:rPr>
        <w:t>第三次土地调查</w:t>
      </w:r>
      <w:r>
        <w:rPr>
          <w:rFonts w:hint="eastAsia" w:ascii="方正小标宋简体" w:hAnsi="方正小标宋简体" w:eastAsia="方正小标宋简体" w:cs="方正小标宋简体"/>
          <w:sz w:val="52"/>
          <w:szCs w:val="52"/>
        </w:rPr>
        <w:t>工作项目支出绩效自评报告</w:t>
      </w:r>
    </w:p>
    <w:p>
      <w:pPr>
        <w:rPr>
          <w:rFonts w:hint="eastAsia" w:hAnsi="宋体"/>
        </w:rPr>
      </w:pP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项目名称：贺州市本级</w:t>
      </w:r>
      <w:r>
        <w:rPr>
          <w:rFonts w:hint="eastAsia" w:hAnsi="宋体" w:eastAsia="宋体" w:cs="宋体"/>
          <w:sz w:val="30"/>
          <w:szCs w:val="30"/>
          <w:lang w:eastAsia="zh-CN"/>
        </w:rPr>
        <w:t>第三次土地调查</w:t>
      </w:r>
      <w:r>
        <w:rPr>
          <w:rFonts w:hint="eastAsia" w:ascii="宋体" w:hAnsi="宋体" w:eastAsia="宋体" w:cs="宋体"/>
          <w:sz w:val="30"/>
          <w:szCs w:val="30"/>
        </w:rPr>
        <w:t xml:space="preserve">工作                                    </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主管部门：</w:t>
      </w:r>
      <w:r>
        <w:rPr>
          <w:rFonts w:hint="eastAsia" w:hAnsi="宋体" w:eastAsia="宋体" w:cs="宋体"/>
          <w:sz w:val="30"/>
          <w:szCs w:val="30"/>
          <w:lang w:eastAsia="zh-CN"/>
        </w:rPr>
        <w:t>贺州市自然资源局</w:t>
      </w:r>
      <w:r>
        <w:rPr>
          <w:rFonts w:hint="eastAsia" w:ascii="宋体" w:hAnsi="宋体" w:eastAsia="宋体" w:cs="宋体"/>
          <w:sz w:val="30"/>
          <w:szCs w:val="30"/>
        </w:rPr>
        <w:t xml:space="preserve">                                       </w:t>
      </w:r>
    </w:p>
    <w:p>
      <w:pPr>
        <w:pStyle w:val="4"/>
        <w:keepNext w:val="0"/>
        <w:keepLines w:val="0"/>
        <w:pageBreakBefore w:val="0"/>
        <w:widowControl w:val="0"/>
        <w:kinsoku/>
        <w:wordWrap/>
        <w:overflowPunct/>
        <w:topLinePunct w:val="0"/>
        <w:autoSpaceDE/>
        <w:autoSpaceDN/>
        <w:bidi w:val="0"/>
        <w:adjustRightInd/>
        <w:snapToGrid/>
        <w:spacing w:line="560" w:lineRule="exact"/>
        <w:ind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 xml:space="preserve">实施单位：广西壮族自治区自然资源调查监测院（原广西壮族自治区地理国情监测院）、贺州市自然资源测绘地理信息规划院（原贺州市国土资源勘查测绘院）、广西合纵测绘工程有限公司（联合体）                                     </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评价类型：事前评价□    事中评价□    事后评价□</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组织方式：部门（单位）绩效自评</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 xml:space="preserve">评价机构：项目单位评价组□    中介机构□    专家组□   </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hAnsi="宋体" w:eastAsia="宋体" w:cs="宋体"/>
          <w:sz w:val="30"/>
          <w:szCs w:val="30"/>
          <w:lang w:eastAsia="zh-CN"/>
        </w:rPr>
      </w:pPr>
      <w:r>
        <w:rPr>
          <w:rFonts w:hint="eastAsia" w:hAnsi="宋体" w:eastAsia="宋体" w:cs="宋体"/>
          <w:sz w:val="30"/>
          <w:szCs w:val="30"/>
          <w:lang w:eastAsia="zh-CN"/>
        </w:rPr>
        <w:t>贺州市自然资源局</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hAnsi="宋体" w:eastAsia="宋体" w:cs="宋体"/>
          <w:sz w:val="32"/>
          <w:szCs w:val="32"/>
          <w:lang w:val="en-US" w:eastAsia="zh-CN"/>
        </w:rPr>
        <w:t xml:space="preserve"> 2023</w:t>
      </w:r>
      <w:r>
        <w:rPr>
          <w:rFonts w:hint="eastAsia" w:ascii="宋体" w:hAnsi="宋体" w:eastAsia="宋体" w:cs="宋体"/>
          <w:sz w:val="32"/>
          <w:szCs w:val="32"/>
        </w:rPr>
        <w:t>年</w:t>
      </w:r>
      <w:r>
        <w:rPr>
          <w:rFonts w:hint="eastAsia" w:hAnsi="宋体" w:eastAsia="宋体" w:cs="宋体"/>
          <w:sz w:val="32"/>
          <w:szCs w:val="32"/>
          <w:lang w:val="en-US" w:eastAsia="zh-CN"/>
        </w:rPr>
        <w:t>2</w:t>
      </w:r>
      <w:r>
        <w:rPr>
          <w:rFonts w:hint="eastAsia" w:ascii="宋体" w:hAnsi="宋体" w:eastAsia="宋体" w:cs="宋体"/>
          <w:sz w:val="32"/>
          <w:szCs w:val="32"/>
        </w:rPr>
        <w:t>月</w:t>
      </w:r>
      <w:r>
        <w:rPr>
          <w:rFonts w:hint="eastAsia" w:hAnsi="宋体" w:eastAsia="宋体" w:cs="宋体"/>
          <w:sz w:val="32"/>
          <w:szCs w:val="32"/>
          <w:lang w:val="en-US" w:eastAsia="zh-CN"/>
        </w:rPr>
        <w:t>28</w:t>
      </w:r>
      <w:r>
        <w:rPr>
          <w:rFonts w:hint="eastAsia" w:ascii="宋体" w:hAnsi="宋体" w:eastAsia="宋体" w:cs="宋体"/>
          <w:sz w:val="32"/>
          <w:szCs w:val="32"/>
        </w:rPr>
        <w:t>日</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支出绩效自评基础信息表</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bl>
      <w:tblPr>
        <w:tblStyle w:val="8"/>
        <w:tblW w:w="10920" w:type="dxa"/>
        <w:jc w:val="center"/>
        <w:tblInd w:w="-590" w:type="dxa"/>
        <w:tblLayout w:type="fixed"/>
        <w:tblCellMar>
          <w:top w:w="0" w:type="dxa"/>
          <w:left w:w="108" w:type="dxa"/>
          <w:bottom w:w="0" w:type="dxa"/>
          <w:right w:w="108" w:type="dxa"/>
        </w:tblCellMar>
      </w:tblPr>
      <w:tblGrid>
        <w:gridCol w:w="315"/>
        <w:gridCol w:w="360"/>
        <w:gridCol w:w="510"/>
        <w:gridCol w:w="30"/>
        <w:gridCol w:w="615"/>
        <w:gridCol w:w="420"/>
        <w:gridCol w:w="578"/>
        <w:gridCol w:w="17"/>
        <w:gridCol w:w="368"/>
        <w:gridCol w:w="152"/>
        <w:gridCol w:w="310"/>
        <w:gridCol w:w="360"/>
        <w:gridCol w:w="141"/>
        <w:gridCol w:w="265"/>
        <w:gridCol w:w="698"/>
        <w:gridCol w:w="73"/>
        <w:gridCol w:w="303"/>
        <w:gridCol w:w="6"/>
        <w:gridCol w:w="533"/>
        <w:gridCol w:w="48"/>
        <w:gridCol w:w="378"/>
        <w:gridCol w:w="1"/>
        <w:gridCol w:w="269"/>
        <w:gridCol w:w="315"/>
        <w:gridCol w:w="600"/>
        <w:gridCol w:w="2"/>
        <w:gridCol w:w="361"/>
        <w:gridCol w:w="268"/>
        <w:gridCol w:w="444"/>
        <w:gridCol w:w="251"/>
        <w:gridCol w:w="115"/>
        <w:gridCol w:w="174"/>
        <w:gridCol w:w="674"/>
        <w:gridCol w:w="940"/>
        <w:gridCol w:w="26"/>
      </w:tblGrid>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Times New Roman"/>
                <w:sz w:val="18"/>
                <w:szCs w:val="18"/>
              </w:rPr>
            </w:pPr>
            <w:r>
              <w:rPr>
                <w:rFonts w:hint="default" w:ascii="Times New Roman" w:hAnsi="Times New Roman" w:eastAsia="黑体" w:cs="Times New Roman"/>
                <w:sz w:val="21"/>
                <w:szCs w:val="21"/>
                <w:lang w:val="en-US" w:eastAsia="zh-CN"/>
              </w:rPr>
              <w:t>1-1</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项目基本概况</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nil"/>
              <w:left w:val="single" w:color="auto" w:sz="8" w:space="0"/>
              <w:bottom w:val="nil"/>
              <w:right w:val="single" w:color="000000" w:sz="8"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r>
              <w:rPr>
                <w:rFonts w:hint="eastAsia" w:ascii="宋体" w:hAnsi="宋体" w:eastAsia="宋体" w:cs="宋体"/>
                <w:sz w:val="18"/>
                <w:szCs w:val="18"/>
                <w:lang w:eastAsia="zh-CN"/>
              </w:rPr>
              <w:t>名称</w:t>
            </w:r>
          </w:p>
        </w:tc>
        <w:tc>
          <w:tcPr>
            <w:tcW w:w="9709" w:type="dxa"/>
            <w:gridSpan w:val="31"/>
            <w:tcBorders>
              <w:top w:val="nil"/>
              <w:left w:val="nil"/>
              <w:bottom w:val="nil"/>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30"/>
                <w:szCs w:val="30"/>
              </w:rPr>
              <w:t>贺州市本级</w:t>
            </w:r>
            <w:r>
              <w:rPr>
                <w:rFonts w:hint="eastAsia" w:hAnsi="宋体" w:eastAsia="宋体" w:cs="宋体"/>
                <w:sz w:val="30"/>
                <w:szCs w:val="30"/>
                <w:lang w:eastAsia="zh-CN"/>
              </w:rPr>
              <w:t>第三次土地调查</w:t>
            </w:r>
            <w:r>
              <w:rPr>
                <w:rFonts w:hint="eastAsia" w:ascii="宋体" w:hAnsi="宋体" w:eastAsia="宋体" w:cs="宋体"/>
                <w:sz w:val="30"/>
                <w:szCs w:val="30"/>
              </w:rPr>
              <w:t>工作</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p>
          <w:p>
            <w:pPr>
              <w:jc w:val="center"/>
              <w:rPr>
                <w:rFonts w:hint="eastAsia" w:ascii="宋体" w:hAnsi="宋体" w:eastAsia="宋体" w:cs="宋体"/>
                <w:sz w:val="18"/>
                <w:szCs w:val="18"/>
                <w:lang w:eastAsia="zh-CN"/>
              </w:rPr>
            </w:pPr>
            <w:r>
              <w:rPr>
                <w:rFonts w:hint="eastAsia" w:ascii="宋体" w:hAnsi="宋体" w:eastAsia="宋体" w:cs="宋体"/>
                <w:sz w:val="18"/>
                <w:szCs w:val="18"/>
              </w:rPr>
              <w:t>负责人</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黄国威</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联系电话</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13558345840</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项目资金</w:t>
            </w:r>
          </w:p>
          <w:p>
            <w:pPr>
              <w:jc w:val="center"/>
              <w:rPr>
                <w:rFonts w:hint="eastAsia" w:ascii="宋体" w:hAnsi="宋体" w:eastAsia="宋体" w:cs="宋体"/>
                <w:sz w:val="18"/>
                <w:szCs w:val="18"/>
              </w:rPr>
            </w:pPr>
            <w:r>
              <w:rPr>
                <w:rFonts w:hint="eastAsia" w:ascii="宋体" w:hAnsi="宋体" w:eastAsia="宋体" w:cs="宋体"/>
                <w:sz w:val="18"/>
                <w:szCs w:val="18"/>
                <w:lang w:eastAsia="zh-CN"/>
              </w:rPr>
              <w:t>安排文号</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贺州市人民政府办公室文件处理签</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rPr>
            </w:pP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项目类型</w:t>
            </w:r>
          </w:p>
        </w:tc>
        <w:tc>
          <w:tcPr>
            <w:tcW w:w="4336" w:type="dxa"/>
            <w:gridSpan w:val="15"/>
            <w:vMerge w:val="restart"/>
            <w:tcBorders>
              <w:top w:val="single" w:color="auto" w:sz="4" w:space="0"/>
              <w:left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1.基本建设类</w:t>
            </w:r>
            <w:r>
              <w:rPr>
                <w:rFonts w:hint="eastAsia" w:ascii="宋体" w:hAnsi="宋体" w:eastAsia="宋体" w:cs="宋体"/>
                <w:b w:val="0"/>
                <w:bCs w:val="0"/>
                <w:kern w:val="0"/>
                <w:sz w:val="18"/>
                <w:szCs w:val="18"/>
                <w:lang w:eastAsia="zh-CN"/>
              </w:rPr>
              <w:t>□</w:t>
            </w:r>
            <w:r>
              <w:rPr>
                <w:rFonts w:hint="eastAsia" w:ascii="宋体" w:hAnsi="宋体" w:eastAsia="宋体" w:cs="宋体"/>
                <w:b w:val="0"/>
                <w:bCs w:val="0"/>
                <w:kern w:val="0"/>
                <w:sz w:val="18"/>
                <w:szCs w:val="18"/>
                <w:lang w:val="en-US" w:eastAsia="zh-CN"/>
              </w:rPr>
              <w:t xml:space="preserve"> 其中：新建□ 扩建□ 改建□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2.行政事业类□ 其中：采购□ 修缮□ 奖励/补贴□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3.其他项目类□</w:t>
            </w:r>
          </w:p>
        </w:tc>
        <w:tc>
          <w:tcPr>
            <w:tcW w:w="960"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项目开</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始时间</w:t>
            </w: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c>
          <w:tcPr>
            <w:tcW w:w="810"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项目完成时间</w:t>
            </w: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continue"/>
            <w:tcBorders>
              <w:left w:val="single" w:color="auto" w:sz="4" w:space="0"/>
              <w:bottom w:val="single" w:color="auto" w:sz="4" w:space="0"/>
              <w:right w:val="single" w:color="auto" w:sz="4" w:space="0"/>
            </w:tcBorders>
            <w:vAlign w:val="center"/>
          </w:tcPr>
          <w:p>
            <w:pPr>
              <w:jc w:val="center"/>
            </w:pPr>
          </w:p>
        </w:tc>
        <w:tc>
          <w:tcPr>
            <w:tcW w:w="4336" w:type="dxa"/>
            <w:gridSpan w:val="15"/>
            <w:vMerge w:val="continue"/>
            <w:tcBorders>
              <w:left w:val="nil"/>
              <w:bottom w:val="single" w:color="auto" w:sz="4" w:space="0"/>
              <w:right w:val="single" w:color="auto" w:sz="4" w:space="0"/>
            </w:tcBorders>
            <w:vAlign w:val="center"/>
          </w:tcPr>
          <w:p>
            <w:pPr>
              <w:jc w:val="center"/>
            </w:pPr>
          </w:p>
        </w:tc>
        <w:tc>
          <w:tcPr>
            <w:tcW w:w="960" w:type="dxa"/>
            <w:gridSpan w:val="4"/>
            <w:vMerge w:val="continue"/>
            <w:tcBorders>
              <w:left w:val="nil"/>
              <w:bottom w:val="single" w:color="auto" w:sz="4" w:space="0"/>
              <w:right w:val="single" w:color="auto" w:sz="4" w:space="0"/>
            </w:tcBorders>
            <w:vAlign w:val="center"/>
          </w:tcPr>
          <w:p>
            <w:pPr>
              <w:jc w:val="center"/>
            </w:pP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c>
          <w:tcPr>
            <w:tcW w:w="810" w:type="dxa"/>
            <w:gridSpan w:val="3"/>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none"/>
              </w:rPr>
            </w:pP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r>
      <w:tr>
        <w:tblPrEx>
          <w:tblLayout w:type="fixed"/>
          <w:tblCellMar>
            <w:top w:w="0" w:type="dxa"/>
            <w:left w:w="108" w:type="dxa"/>
            <w:bottom w:w="0" w:type="dxa"/>
            <w:right w:w="108" w:type="dxa"/>
          </w:tblCellMar>
        </w:tblPrEx>
        <w:trPr>
          <w:gridAfter w:val="1"/>
          <w:wAfter w:w="26" w:type="dxa"/>
          <w:trHeight w:val="51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p>
            <w:pPr>
              <w:jc w:val="center"/>
              <w:rPr>
                <w:rFonts w:hint="eastAsia" w:ascii="宋体" w:hAnsi="宋体" w:eastAsia="宋体" w:cs="宋体"/>
                <w:sz w:val="18"/>
                <w:szCs w:val="18"/>
                <w:highlight w:val="cyan"/>
              </w:rPr>
            </w:pPr>
          </w:p>
          <w:p>
            <w:pPr>
              <w:numPr>
                <w:ilvl w:val="0"/>
                <w:numId w:val="0"/>
              </w:numPr>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2.专家评审立项的项目□</w:t>
            </w:r>
          </w:p>
          <w:p>
            <w:r>
              <w:rPr>
                <w:rFonts w:hint="eastAsia" w:ascii="宋体" w:hAnsi="宋体" w:eastAsia="宋体" w:cs="宋体"/>
                <w:sz w:val="18"/>
                <w:szCs w:val="18"/>
                <w:lang w:val="en-US" w:eastAsia="zh-CN"/>
              </w:rPr>
              <w:t>3.公开招标立项的项目□                               4.其他方式立项</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项目（用款）单位个数</w:t>
            </w:r>
          </w:p>
        </w:tc>
        <w:tc>
          <w:tcPr>
            <w:tcW w:w="9709" w:type="dxa"/>
            <w:gridSpan w:val="31"/>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r>
              <w:rPr>
                <w:rFonts w:hint="eastAsia" w:ascii="宋体" w:hAnsi="宋体" w:eastAsia="宋体" w:cs="宋体"/>
                <w:sz w:val="18"/>
                <w:szCs w:val="18"/>
                <w:lang w:val="en-US" w:eastAsia="zh-CN"/>
              </w:rPr>
              <w:t>1个；  其中：市本级1 个。</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lang w:eastAsia="zh-CN"/>
              </w:rPr>
              <w:t>1-</w:t>
            </w:r>
            <w:r>
              <w:rPr>
                <w:rFonts w:hint="default" w:ascii="Times New Roman" w:hAnsi="Times New Roman" w:eastAsia="黑体" w:cs="Times New Roman"/>
                <w:sz w:val="21"/>
                <w:szCs w:val="21"/>
                <w:lang w:val="en-US" w:eastAsia="zh-CN"/>
              </w:rPr>
              <w:t>2</w:t>
            </w:r>
            <w:r>
              <w:rPr>
                <w:rFonts w:hint="eastAsia" w:ascii="黑体" w:hAnsi="黑体" w:eastAsia="黑体" w:cs="黑体"/>
                <w:sz w:val="21"/>
                <w:szCs w:val="21"/>
                <w:lang w:eastAsia="zh-CN"/>
              </w:rPr>
              <w:t>：前期工作情况</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资金设立依据（文件）</w:t>
            </w:r>
          </w:p>
        </w:tc>
        <w:tc>
          <w:tcPr>
            <w:tcW w:w="9709" w:type="dxa"/>
            <w:gridSpan w:val="31"/>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根据《土地调查条例》《国务院关于开展第三次全国土地调查的通知》（国发〔2017〕48号）和《广西壮族自治区人民政府关于开展第三次土地调查的通知》（桂政发〔2017〕65号）</w:t>
            </w:r>
          </w:p>
        </w:tc>
      </w:tr>
      <w:tr>
        <w:tblPrEx>
          <w:tblLayout w:type="fixed"/>
          <w:tblCellMar>
            <w:top w:w="0" w:type="dxa"/>
            <w:left w:w="108" w:type="dxa"/>
            <w:bottom w:w="0" w:type="dxa"/>
            <w:right w:w="108" w:type="dxa"/>
          </w:tblCellMar>
        </w:tblPrEx>
        <w:trPr>
          <w:gridAfter w:val="1"/>
          <w:wAfter w:w="26" w:type="dxa"/>
          <w:trHeight w:val="85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立项方式</w:t>
            </w:r>
          </w:p>
        </w:tc>
        <w:tc>
          <w:tcPr>
            <w:tcW w:w="9709" w:type="dxa"/>
            <w:gridSpan w:val="31"/>
            <w:tcBorders>
              <w:top w:val="single" w:color="auto" w:sz="4" w:space="0"/>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1.发改部门批准立项的项目部门审核立项的项目□         2.专家评审立项的项目□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3.公开招标立项的项目□                               4.其他方式立项的项目（注明具体方式）□_____________ </w:t>
            </w: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rPr>
              <w:t>1-</w:t>
            </w:r>
            <w:r>
              <w:rPr>
                <w:rFonts w:hint="default" w:ascii="Times New Roman" w:hAnsi="Times New Roman" w:eastAsia="黑体" w:cs="Times New Roman"/>
                <w:sz w:val="21"/>
                <w:szCs w:val="21"/>
                <w:lang w:val="en-US" w:eastAsia="zh-CN"/>
              </w:rPr>
              <w:t>3</w:t>
            </w:r>
            <w:r>
              <w:rPr>
                <w:rFonts w:hint="eastAsia" w:ascii="黑体" w:hAnsi="黑体" w:eastAsia="黑体" w:cs="黑体"/>
                <w:sz w:val="21"/>
                <w:szCs w:val="21"/>
              </w:rPr>
              <w:t>：</w:t>
            </w:r>
            <w:r>
              <w:rPr>
                <w:rFonts w:hint="eastAsia" w:ascii="黑体" w:hAnsi="黑体" w:eastAsia="黑体" w:cs="黑体"/>
                <w:sz w:val="21"/>
                <w:szCs w:val="21"/>
                <w:lang w:eastAsia="zh-CN"/>
              </w:rPr>
              <w:t>实施过程</w:t>
            </w:r>
            <w:r>
              <w:rPr>
                <w:rFonts w:hint="eastAsia" w:ascii="黑体" w:hAnsi="黑体" w:eastAsia="黑体" w:cs="黑体"/>
                <w:sz w:val="21"/>
                <w:szCs w:val="21"/>
              </w:rPr>
              <w:t>情况</w:t>
            </w:r>
            <w:r>
              <w:rPr>
                <w:rFonts w:hint="eastAsia" w:ascii="黑体" w:hAnsi="黑体" w:eastAsia="黑体" w:cs="黑体"/>
                <w:sz w:val="21"/>
                <w:szCs w:val="21"/>
                <w:lang w:eastAsia="zh-CN"/>
              </w:rPr>
              <w:t>（单位：万元）</w:t>
            </w:r>
          </w:p>
        </w:tc>
      </w:tr>
      <w:tr>
        <w:tblPrEx>
          <w:tblLayout w:type="fixed"/>
          <w:tblCellMar>
            <w:top w:w="0" w:type="dxa"/>
            <w:left w:w="108" w:type="dxa"/>
            <w:bottom w:w="0" w:type="dxa"/>
            <w:right w:w="108" w:type="dxa"/>
          </w:tblCellMar>
        </w:tblPrEx>
        <w:trPr>
          <w:trHeight w:val="397" w:hRule="atLeast"/>
          <w:jc w:val="center"/>
        </w:trPr>
        <w:tc>
          <w:tcPr>
            <w:tcW w:w="315"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资金管理</w:t>
            </w:r>
          </w:p>
        </w:tc>
        <w:tc>
          <w:tcPr>
            <w:tcW w:w="360" w:type="dxa"/>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资金到位支付情况</w:t>
            </w:r>
          </w:p>
        </w:tc>
        <w:tc>
          <w:tcPr>
            <w:tcW w:w="1575"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资金来源</w:t>
            </w:r>
          </w:p>
        </w:tc>
        <w:tc>
          <w:tcPr>
            <w:tcW w:w="1926" w:type="dxa"/>
            <w:gridSpan w:val="7"/>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以前资金情况</w:t>
            </w:r>
          </w:p>
        </w:tc>
        <w:tc>
          <w:tcPr>
            <w:tcW w:w="6744" w:type="dxa"/>
            <w:gridSpan w:val="2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本次评价资金情况</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至本次评价前累计支出金额</w:t>
            </w:r>
          </w:p>
        </w:tc>
        <w:tc>
          <w:tcPr>
            <w:tcW w:w="963"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c>
          <w:tcPr>
            <w:tcW w:w="963"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预算（计划）安排</w:t>
            </w:r>
          </w:p>
        </w:tc>
        <w:tc>
          <w:tcPr>
            <w:tcW w:w="2889" w:type="dxa"/>
            <w:gridSpan w:val="1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tc>
        <w:tc>
          <w:tcPr>
            <w:tcW w:w="1926" w:type="dxa"/>
            <w:gridSpan w:val="6"/>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实际支出</w:t>
            </w:r>
          </w:p>
          <w:p>
            <w:pPr>
              <w:jc w:val="center"/>
              <w:rPr>
                <w:rFonts w:hint="eastAsia" w:ascii="宋体" w:hAnsi="宋体" w:eastAsia="宋体" w:cs="宋体"/>
                <w:sz w:val="18"/>
                <w:szCs w:val="18"/>
              </w:rPr>
            </w:pPr>
            <w:r>
              <w:rPr>
                <w:rFonts w:hint="eastAsia" w:ascii="宋体" w:hAnsi="宋体" w:eastAsia="宋体" w:cs="宋体"/>
                <w:sz w:val="18"/>
                <w:szCs w:val="18"/>
                <w:lang w:eastAsia="zh-CN"/>
              </w:rPr>
              <w:t>（项目单位支出）</w:t>
            </w:r>
          </w:p>
        </w:tc>
        <w:tc>
          <w:tcPr>
            <w:tcW w:w="966"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支出金额</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支出率（</w:t>
            </w:r>
            <w:r>
              <w:rPr>
                <w:rFonts w:hint="eastAsia" w:ascii="宋体" w:hAnsi="宋体" w:eastAsia="宋体" w:cs="宋体"/>
                <w:sz w:val="18"/>
                <w:szCs w:val="18"/>
                <w:lang w:val="en-US" w:eastAsia="zh-CN"/>
              </w:rPr>
              <w:t>%）</w:t>
            </w:r>
          </w:p>
        </w:tc>
        <w:tc>
          <w:tcPr>
            <w:tcW w:w="966"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31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highlight w:val="yellow"/>
                <w:lang w:val="en-US" w:eastAsia="zh-CN"/>
              </w:rPr>
            </w:pPr>
            <w:r>
              <w:rPr>
                <w:rFonts w:hint="eastAsia" w:ascii="宋体" w:hAnsi="宋体" w:eastAsia="宋体" w:cs="宋体"/>
                <w:sz w:val="18"/>
                <w:szCs w:val="18"/>
                <w:highlight w:val="yellow"/>
                <w:lang w:val="en-US" w:eastAsia="zh-CN"/>
              </w:rPr>
              <w:t>811.76</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highlight w:val="yellow"/>
                <w:lang w:val="en-US" w:eastAsia="zh-CN"/>
              </w:rPr>
            </w:pPr>
            <w:r>
              <w:rPr>
                <w:rFonts w:hint="eastAsia" w:ascii="宋体" w:hAnsi="宋体" w:eastAsia="宋体" w:cs="宋体"/>
                <w:sz w:val="18"/>
                <w:szCs w:val="18"/>
                <w:highlight w:val="yellow"/>
                <w:lang w:val="en-US" w:eastAsia="zh-CN"/>
              </w:rPr>
              <w:t>195.04</w:t>
            </w: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highlight w:val="yellow"/>
                <w:lang w:eastAsia="zh-CN"/>
              </w:rPr>
            </w:pPr>
            <w:r>
              <w:rPr>
                <w:rFonts w:hint="eastAsia" w:ascii="宋体" w:hAnsi="宋体" w:eastAsia="宋体" w:cs="宋体"/>
                <w:sz w:val="18"/>
                <w:szCs w:val="18"/>
                <w:highlight w:val="yellow"/>
                <w:lang w:val="en-US" w:eastAsia="zh-CN"/>
              </w:rPr>
              <w:t>195.04</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highlight w:val="yellow"/>
                <w:lang w:val="en-US" w:eastAsia="zh-CN"/>
              </w:rPr>
            </w:pPr>
            <w:r>
              <w:rPr>
                <w:rFonts w:hint="eastAsia" w:ascii="宋体" w:hAnsi="宋体" w:eastAsia="宋体" w:cs="宋体"/>
                <w:sz w:val="18"/>
                <w:szCs w:val="18"/>
                <w:highlight w:val="yellow"/>
                <w:lang w:val="en-US" w:eastAsia="zh-CN"/>
              </w:rPr>
              <w:t>60</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highlight w:val="yellow"/>
                <w:lang w:val="en-US"/>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highlight w:val="yellow"/>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highlight w:val="yellow"/>
                <w:lang w:val="en-US" w:eastAsia="zh-CN"/>
              </w:rPr>
            </w:pPr>
            <w:r>
              <w:rPr>
                <w:rFonts w:hint="eastAsia" w:ascii="宋体" w:hAnsi="宋体" w:eastAsia="宋体" w:cs="宋体"/>
                <w:sz w:val="18"/>
                <w:szCs w:val="18"/>
                <w:highlight w:val="yellow"/>
                <w:lang w:val="en-US" w:eastAsia="zh-CN"/>
              </w:rPr>
              <w:t>60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highlight w:val="yellow"/>
                <w:lang w:val="en-US" w:eastAsia="zh-CN"/>
              </w:rPr>
            </w:pPr>
            <w:r>
              <w:rPr>
                <w:rFonts w:hint="eastAsia" w:ascii="宋体" w:hAnsi="宋体" w:eastAsia="宋体" w:cs="宋体"/>
                <w:sz w:val="18"/>
                <w:szCs w:val="18"/>
                <w:highlight w:val="yellow"/>
                <w:lang w:val="en-US" w:eastAsia="zh-CN"/>
              </w:rPr>
              <w:t>100%</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highlight w:val="yellow"/>
                <w:lang w:val="en-US" w:eastAsia="zh-CN"/>
              </w:rPr>
            </w:pPr>
            <w:r>
              <w:rPr>
                <w:rFonts w:hint="eastAsia" w:ascii="宋体" w:hAnsi="宋体" w:eastAsia="宋体" w:cs="宋体"/>
                <w:sz w:val="18"/>
                <w:szCs w:val="18"/>
                <w:highlight w:val="yellow"/>
                <w:lang w:val="en-US" w:eastAsia="zh-CN"/>
              </w:rPr>
              <w:t>0</w:t>
            </w:r>
          </w:p>
        </w:tc>
      </w:tr>
      <w:tr>
        <w:tblPrEx>
          <w:tblLayout w:type="fixed"/>
          <w:tblCellMar>
            <w:top w:w="0" w:type="dxa"/>
            <w:left w:w="108" w:type="dxa"/>
            <w:bottom w:w="0" w:type="dxa"/>
            <w:right w:w="108" w:type="dxa"/>
          </w:tblCellMar>
        </w:tblPrEx>
        <w:trPr>
          <w:trHeight w:val="359"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中央财政资金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359"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自治区财政资金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329"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市财政资金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县区财政资金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其他资金小计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①</w:t>
            </w:r>
            <w:r>
              <w:rPr>
                <w:rFonts w:hint="eastAsia" w:ascii="宋体" w:hAnsi="宋体" w:eastAsia="宋体" w:cs="宋体"/>
                <w:sz w:val="18"/>
                <w:szCs w:val="18"/>
                <w:lang w:eastAsia="zh-CN"/>
              </w:rPr>
              <w:t>银行贷款</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②</w:t>
            </w:r>
            <w:r>
              <w:rPr>
                <w:rFonts w:hint="eastAsia" w:ascii="宋体" w:hAnsi="宋体" w:eastAsia="宋体" w:cs="宋体"/>
                <w:sz w:val="18"/>
                <w:szCs w:val="18"/>
                <w:lang w:eastAsia="zh-CN"/>
              </w:rPr>
              <w:t>单位自筹</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　</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③</w:t>
            </w:r>
            <w:r>
              <w:rPr>
                <w:rFonts w:hint="eastAsia" w:ascii="宋体" w:hAnsi="宋体" w:eastAsia="宋体" w:cs="宋体"/>
                <w:sz w:val="18"/>
                <w:szCs w:val="18"/>
                <w:lang w:eastAsia="zh-CN"/>
              </w:rPr>
              <w:t>其他</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67"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财务合规性</w:t>
            </w: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资金实际支出明细内容</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（至主要末级经济科目）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项目预算</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项目实际</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资金支出依据（相关的资金管理办法、</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批复文件、流水账号等）</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2018年第三次土地调查工作服务合同费用</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23.68</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2018年第三次土地调查工作服务合同费用</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12.9</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3</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2018年第三次土地调查工作服务合同费用</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23.4</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4</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贺州市本级第三次土地调查工作</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5</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贺州市本级第三次土地调查工作</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实施程序</w:t>
            </w: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调整情况</w:t>
            </w:r>
          </w:p>
        </w:tc>
        <w:tc>
          <w:tcPr>
            <w:tcW w:w="1613" w:type="dxa"/>
            <w:gridSpan w:val="3"/>
            <w:tcBorders>
              <w:top w:val="single" w:color="auto" w:sz="4" w:space="0"/>
              <w:left w:val="single" w:color="auto" w:sz="4" w:space="0"/>
              <w:bottom w:val="single" w:color="auto" w:sz="4" w:space="0"/>
              <w:right w:val="single" w:color="auto" w:sz="4" w:space="0"/>
            </w:tcBorders>
            <w:vAlign w:val="center"/>
          </w:tcPr>
          <w:p>
            <w:pPr>
              <w:numPr>
                <w:ilvl w:val="0"/>
                <w:numId w:val="0"/>
              </w:num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1</w:t>
            </w:r>
            <w:r>
              <w:rPr>
                <w:rFonts w:hint="eastAsia" w:ascii="宋体" w:hAnsi="宋体" w:eastAsia="宋体" w:cs="宋体"/>
                <w:sz w:val="18"/>
                <w:szCs w:val="18"/>
                <w:lang w:val="en-US" w:eastAsia="zh-CN"/>
              </w:rPr>
              <w:t>.预算变动</w:t>
            </w:r>
          </w:p>
          <w:p>
            <w:pPr>
              <w:numPr>
                <w:ilvl w:val="0"/>
                <w:numId w:val="0"/>
              </w:num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（增减变动）</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2</w:t>
            </w:r>
            <w:r>
              <w:rPr>
                <w:rFonts w:hint="eastAsia" w:ascii="宋体" w:hAnsi="宋体" w:eastAsia="宋体" w:cs="宋体"/>
                <w:sz w:val="18"/>
                <w:szCs w:val="18"/>
                <w:lang w:val="en-US" w:eastAsia="zh-CN"/>
              </w:rPr>
              <w:t>.支出内容调整（包括设计变动而来的调整）</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3</w:t>
            </w:r>
            <w:r>
              <w:rPr>
                <w:rFonts w:hint="eastAsia" w:ascii="宋体" w:hAnsi="宋体" w:eastAsia="宋体" w:cs="宋体"/>
                <w:sz w:val="18"/>
                <w:szCs w:val="18"/>
                <w:lang w:val="en-US" w:eastAsia="zh-CN"/>
              </w:rPr>
              <w:t>.设计方案调整</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有调整的项目（用款单位数量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其中按要求办理报批手续的项目（用款）单位数量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实际办理</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的项目数</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调整内容</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调整原因及</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未办理批复的</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项目及原因</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验收情况</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时间</w:t>
            </w:r>
          </w:p>
        </w:tc>
        <w:tc>
          <w:tcPr>
            <w:tcW w:w="1535"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未验收</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单位</w:t>
            </w:r>
          </w:p>
        </w:tc>
        <w:tc>
          <w:tcPr>
            <w:tcW w:w="1480"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96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办理验收手续项目</w:t>
            </w:r>
          </w:p>
        </w:tc>
        <w:tc>
          <w:tcPr>
            <w:tcW w:w="1185" w:type="dxa"/>
            <w:gridSpan w:val="4"/>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07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验收程序</w:t>
            </w:r>
          </w:p>
        </w:tc>
        <w:tc>
          <w:tcPr>
            <w:tcW w:w="2154"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center"/>
              <w:rPr>
                <w:rFonts w:hint="eastAsia" w:ascii="黑体" w:hAnsi="黑体" w:eastAsia="黑体" w:cs="黑体"/>
                <w:sz w:val="21"/>
                <w:szCs w:val="21"/>
                <w:lang w:val="en-US" w:eastAsia="zh-CN"/>
              </w:rPr>
            </w:pPr>
          </w:p>
        </w:tc>
        <w:tc>
          <w:tcPr>
            <w:tcW w:w="2150"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项目已完成未</w:t>
            </w:r>
          </w:p>
          <w:p>
            <w:pPr>
              <w:jc w:val="center"/>
              <w:rPr>
                <w:rFonts w:hint="eastAsia" w:ascii="黑体" w:hAnsi="黑体" w:eastAsia="黑体" w:cs="黑体"/>
                <w:sz w:val="21"/>
                <w:szCs w:val="21"/>
                <w:lang w:val="en-US" w:eastAsia="zh-CN"/>
              </w:rPr>
            </w:pPr>
            <w:r>
              <w:rPr>
                <w:rFonts w:hint="eastAsia" w:ascii="宋体" w:hAnsi="宋体" w:eastAsia="宋体" w:cs="宋体"/>
                <w:sz w:val="18"/>
                <w:szCs w:val="18"/>
                <w:lang w:val="en-US" w:eastAsia="zh-CN"/>
              </w:rPr>
              <w:t>办理验收的说明</w:t>
            </w:r>
          </w:p>
        </w:tc>
        <w:tc>
          <w:tcPr>
            <w:tcW w:w="7529" w:type="dxa"/>
            <w:gridSpan w:val="2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18"/>
                <w:szCs w:val="18"/>
                <w:lang w:eastAsia="zh-CN"/>
              </w:rPr>
            </w:pPr>
            <w:r>
              <w:rPr>
                <w:rFonts w:hint="default" w:ascii="Times New Roman" w:hAnsi="Times New Roman" w:eastAsia="黑体" w:cs="Times New Roman"/>
                <w:sz w:val="21"/>
                <w:szCs w:val="21"/>
                <w:lang w:val="en-US" w:eastAsia="zh-CN"/>
              </w:rPr>
              <w:t>1-4</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评价人员（最少</w:t>
            </w:r>
            <w:r>
              <w:rPr>
                <w:rFonts w:hint="default" w:ascii="Times New Roman" w:hAnsi="Times New Roman" w:eastAsia="黑体" w:cs="Times New Roman"/>
                <w:sz w:val="21"/>
                <w:szCs w:val="21"/>
                <w:lang w:eastAsia="zh-CN"/>
              </w:rPr>
              <w:t>3</w:t>
            </w:r>
            <w:r>
              <w:rPr>
                <w:rFonts w:hint="eastAsia" w:ascii="黑体" w:hAnsi="黑体" w:eastAsia="黑体" w:cs="黑体"/>
                <w:sz w:val="21"/>
                <w:szCs w:val="21"/>
                <w:lang w:eastAsia="zh-CN"/>
              </w:rPr>
              <w:t>位）</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秦有清</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：自然资源确权登记科</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李哲霖</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：自然资源确权登记科</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黄国威</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：自然资源确权登记科</w:t>
            </w:r>
          </w:p>
        </w:tc>
      </w:tr>
    </w:tbl>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lang w:eastAsia="zh-CN"/>
        </w:rPr>
      </w:pP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项目基本情况</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1.立项背景依据</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eastAsia="zh-CN"/>
        </w:rPr>
        <w:t>根据《土地调查条例》《国务院关于开展第三次全国土地调查的通知》（国发〔2017〕48号）和《广西壮族自治区人民政府关于开展第三次土地调查的通知》（桂政发〔2017〕65号）的文件要求，我市积极推进该项目。</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项目内容：在第二次土地调查成果基础上，按照国家统一标准，在全区范围内利用遥感、测绘、地理信息、互联网等技术，统筹利用现有资料，以正射影像图为基础，实地调查土地的地类、面积和权属，全面掌握耕地、园地、林地、草地、商服、工矿仓储、住宅、公共管理与公共服务、交通运输、水域及水利设施用地等地类分布及利用状况；细化耕地调查，全面掌握耕地数量、质量、分布和构成；开展低效闲置土地调查，全面摸清城镇及开发区范围内的土地利用状况；建立互联共享的集影像、地类、范围、面积和权属为一体的土地调查数据库，完善各级互联共享的网络化管理系统；健全土地资源变化信息的调查、统计和全天候、全覆盖遥感监测与快速更新机制。相较于第二次土地调查和年度土地变更调查，三调是对“已有内容的细化、变化内容的更新、新增内容的补充”，并对存在相关部门管理需求交叉的耕地、园地、林地、草地、养殖水面等地类进行利用现状、质量状况和管理属性的多重标注。</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3.资金用途及目的：用以聘请第三方公司实施项目。</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（二）项目资金管理使用情况</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该项目资金经市人民政府批准，中标价为916.80万元。后期因工作内容增加，补充经费90万元，共计1006.80万元。</w:t>
      </w:r>
      <w:r>
        <w:rPr>
          <w:rFonts w:hint="eastAsia" w:ascii="仿宋_GB2312" w:hAnsi="仿宋_GB2312" w:eastAsia="仿宋_GB2312" w:cs="仿宋_GB2312"/>
          <w:sz w:val="32"/>
          <w:szCs w:val="32"/>
          <w:lang w:eastAsia="zh-CN"/>
        </w:rPr>
        <w:t>主要内容包括权籍调查、房屋测绘、</w:t>
      </w:r>
      <w:r>
        <w:rPr>
          <w:rFonts w:hint="eastAsia" w:ascii="仿宋_GB2312" w:hAnsi="仿宋_GB2312" w:eastAsia="仿宋_GB2312" w:cs="仿宋_GB2312"/>
          <w:sz w:val="32"/>
          <w:szCs w:val="32"/>
          <w:lang w:val="en-US" w:eastAsia="zh-CN"/>
        </w:rPr>
        <w:t>2016年以来</w:t>
      </w:r>
      <w:r>
        <w:rPr>
          <w:rFonts w:hint="eastAsia" w:ascii="仿宋_GB2312" w:hAnsi="仿宋_GB2312" w:eastAsia="仿宋_GB2312" w:cs="仿宋_GB2312"/>
          <w:sz w:val="32"/>
          <w:szCs w:val="32"/>
          <w:lang w:eastAsia="zh-CN"/>
        </w:rPr>
        <w:t>新增宅基地和集体建设的测绘、数据整理和信息录入不动产登记系统等</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hAnsi="仿宋_GB2312" w:eastAsia="仿宋_GB2312" w:cs="仿宋_GB2312"/>
          <w:kern w:val="2"/>
          <w:sz w:val="32"/>
          <w:szCs w:val="32"/>
          <w:lang w:val="zh-CN" w:eastAsia="zh-CN" w:bidi="ar-SA"/>
        </w:rPr>
      </w:pPr>
      <w:r>
        <w:rPr>
          <w:rFonts w:hint="eastAsia" w:ascii="仿宋_GB2312" w:hAnsi="仿宋_GB2312" w:eastAsia="仿宋_GB2312" w:cs="仿宋_GB2312"/>
          <w:sz w:val="32"/>
          <w:szCs w:val="32"/>
        </w:rPr>
        <w:t>2.</w:t>
      </w:r>
      <w:r>
        <w:rPr>
          <w:rFonts w:hint="eastAsia" w:ascii="仿宋_GB2312" w:hAnsi="仿宋_GB2312" w:eastAsia="仿宋_GB2312" w:cs="仿宋_GB2312"/>
          <w:kern w:val="2"/>
          <w:sz w:val="32"/>
          <w:szCs w:val="32"/>
          <w:lang w:val="en-US" w:eastAsia="zh-CN" w:bidi="ar-SA"/>
        </w:rPr>
        <w:t>根据合同约定，分四笔支出，一是合同签订后10个工作日内，甲方向乙方预付金额捌拾万元（小写：￥80.00万元整）作为项目启动资金；二是乙方单位在2019年6月底前</w:t>
      </w:r>
      <w:r>
        <w:rPr>
          <w:rFonts w:hint="eastAsia" w:ascii="仿宋_GB2312" w:hAnsi="仿宋_GB2312" w:eastAsia="仿宋_GB2312" w:cs="仿宋_GB2312"/>
          <w:kern w:val="2"/>
          <w:sz w:val="32"/>
          <w:szCs w:val="32"/>
          <w:lang w:val="zh-CN" w:eastAsia="zh-CN" w:bidi="ar-SA"/>
        </w:rPr>
        <w:t>完成第三次土地调查城镇内部土地利用现状调查，并将调查成果汇报自治区土地调查办后</w:t>
      </w:r>
      <w:r>
        <w:rPr>
          <w:rFonts w:hint="eastAsia" w:ascii="仿宋_GB2312" w:hAnsi="仿宋_GB2312" w:eastAsia="仿宋_GB2312" w:cs="仿宋_GB2312"/>
          <w:kern w:val="2"/>
          <w:sz w:val="32"/>
          <w:szCs w:val="32"/>
          <w:lang w:val="en-US" w:eastAsia="zh-CN" w:bidi="ar-SA"/>
        </w:rPr>
        <w:t>10</w:t>
      </w:r>
      <w:r>
        <w:rPr>
          <w:rFonts w:hint="eastAsia" w:ascii="仿宋_GB2312" w:hAnsi="仿宋_GB2312" w:eastAsia="仿宋_GB2312" w:cs="仿宋_GB2312"/>
          <w:kern w:val="2"/>
          <w:sz w:val="32"/>
          <w:szCs w:val="32"/>
          <w:lang w:val="zh-CN" w:eastAsia="zh-CN" w:bidi="ar-SA"/>
        </w:rPr>
        <w:t>个工作日内，支付合同总价款的40%作为进度款；</w:t>
      </w:r>
      <w:r>
        <w:rPr>
          <w:rFonts w:hint="eastAsia" w:ascii="仿宋_GB2312" w:hAnsi="仿宋_GB2312" w:eastAsia="仿宋_GB2312" w:cs="仿宋_GB2312"/>
          <w:kern w:val="2"/>
          <w:sz w:val="32"/>
          <w:szCs w:val="32"/>
          <w:lang w:val="en-US" w:eastAsia="zh-CN" w:bidi="ar-SA"/>
        </w:rPr>
        <w:t>三是乙方单位在2019年12月底前</w:t>
      </w:r>
      <w:r>
        <w:rPr>
          <w:rFonts w:hint="eastAsia" w:ascii="仿宋_GB2312" w:hAnsi="仿宋_GB2312" w:eastAsia="仿宋_GB2312" w:cs="仿宋_GB2312"/>
          <w:kern w:val="2"/>
          <w:sz w:val="32"/>
          <w:szCs w:val="32"/>
          <w:lang w:val="zh-CN" w:eastAsia="zh-CN" w:bidi="ar-SA"/>
        </w:rPr>
        <w:t>完成第三次土地调查需要开展的外业核实工作，包括国家下发图斑外业核实、在线举证等工作后</w:t>
      </w:r>
      <w:r>
        <w:rPr>
          <w:rFonts w:hint="eastAsia" w:ascii="仿宋_GB2312" w:hAnsi="仿宋_GB2312" w:eastAsia="仿宋_GB2312" w:cs="仿宋_GB2312"/>
          <w:kern w:val="2"/>
          <w:sz w:val="32"/>
          <w:szCs w:val="32"/>
          <w:lang w:val="en-US" w:eastAsia="zh-CN" w:bidi="ar-SA"/>
        </w:rPr>
        <w:t>10</w:t>
      </w:r>
      <w:r>
        <w:rPr>
          <w:rFonts w:hint="eastAsia" w:ascii="仿宋_GB2312" w:hAnsi="仿宋_GB2312" w:eastAsia="仿宋_GB2312" w:cs="仿宋_GB2312"/>
          <w:kern w:val="2"/>
          <w:sz w:val="32"/>
          <w:szCs w:val="32"/>
          <w:lang w:val="zh-CN" w:eastAsia="zh-CN" w:bidi="ar-SA"/>
        </w:rPr>
        <w:t>个工作日内，支付合同总价款的30%作为进度款；</w:t>
      </w:r>
      <w:r>
        <w:rPr>
          <w:rFonts w:hint="eastAsia" w:ascii="仿宋_GB2312" w:hAnsi="仿宋_GB2312" w:eastAsia="仿宋_GB2312" w:cs="仿宋_GB2312"/>
          <w:kern w:val="2"/>
          <w:sz w:val="32"/>
          <w:szCs w:val="32"/>
          <w:lang w:val="en-US" w:eastAsia="zh-CN" w:bidi="ar-SA"/>
        </w:rPr>
        <w:t>四是</w:t>
      </w:r>
      <w:r>
        <w:rPr>
          <w:rFonts w:hint="eastAsia" w:ascii="仿宋_GB2312" w:hAnsi="仿宋_GB2312" w:eastAsia="仿宋_GB2312" w:cs="仿宋_GB2312"/>
          <w:kern w:val="2"/>
          <w:sz w:val="32"/>
          <w:szCs w:val="32"/>
          <w:lang w:val="zh-CN" w:eastAsia="zh-CN" w:bidi="ar-SA"/>
        </w:rPr>
        <w:t>乙方按国家及自治区土地调查办要求时间内完成调查所需的全部工作，提交相关成果文件，经市级检查合格后，报请自治区级成果检查，待验收合格后，合同总价款余下的约20%作为质保金，待质保期届满并收到乙方开具的等额发票后15个工作日内一次性结清剩余款项。</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3.项目资金管理情况（包括管理制度、办法的制订及执行情况）分析。</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4.项目资金支出及拨付合规性分析。</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（三）</w:t>
      </w:r>
      <w:r>
        <w:rPr>
          <w:rFonts w:hint="eastAsia" w:ascii="楷体_GB2312" w:hAnsi="楷体_GB2312" w:eastAsia="楷体_GB2312" w:cs="楷体_GB2312"/>
          <w:b/>
          <w:bCs/>
          <w:sz w:val="32"/>
          <w:szCs w:val="32"/>
          <w:lang w:eastAsia="zh-CN"/>
        </w:rPr>
        <w:t>项目组织管理情况</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项目的总体目标是</w:t>
      </w:r>
      <w:r>
        <w:rPr>
          <w:rFonts w:hint="eastAsia" w:ascii="仿宋_GB2312" w:hAnsi="仿宋_GB2312" w:eastAsia="仿宋_GB2312" w:cs="仿宋_GB2312"/>
          <w:sz w:val="32"/>
          <w:szCs w:val="32"/>
        </w:rPr>
        <w:t>以国家统一提供的调查底图为基础，实地调查每块图斑的地类、位置、范围、面积等利用状况，查清各类土地的分布和利用状况。</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2.项目管理情况（包括项目管理制度建设、日常检查监督管理、日常绩效运行监控开展等情况）。</w:t>
      </w:r>
      <w:r>
        <w:rPr>
          <w:rFonts w:hint="eastAsia" w:ascii="仿宋_GB2312" w:hAnsi="仿宋_GB2312" w:eastAsia="仿宋_GB2312" w:cs="仿宋_GB2312"/>
          <w:sz w:val="32"/>
          <w:szCs w:val="32"/>
          <w:lang w:eastAsia="zh-CN"/>
        </w:rPr>
        <w:t>市三调办严格按照有关规定</w:t>
      </w:r>
      <w:r>
        <w:rPr>
          <w:rFonts w:hint="eastAsia" w:ascii="仿宋_GB2312" w:hAnsi="仿宋_GB2312" w:eastAsia="仿宋_GB2312" w:cs="仿宋_GB2312"/>
          <w:sz w:val="32"/>
          <w:szCs w:val="32"/>
        </w:rPr>
        <w:t>精心组织，采取强有力措施推进实施“三调”工作。</w:t>
      </w:r>
      <w:r>
        <w:rPr>
          <w:rFonts w:hint="eastAsia" w:ascii="仿宋_GB2312" w:hAnsi="仿宋_GB2312" w:eastAsia="仿宋_GB2312" w:cs="仿宋_GB2312"/>
          <w:sz w:val="32"/>
          <w:szCs w:val="32"/>
          <w:lang w:eastAsia="zh-CN"/>
        </w:rPr>
        <w:t>一是</w:t>
      </w:r>
      <w:r>
        <w:rPr>
          <w:rFonts w:hint="eastAsia" w:ascii="仿宋_GB2312" w:hAnsi="仿宋_GB2312" w:eastAsia="仿宋_GB2312" w:cs="仿宋_GB2312"/>
          <w:b/>
          <w:bCs/>
          <w:sz w:val="32"/>
          <w:szCs w:val="32"/>
        </w:rPr>
        <w:t>强化领导，各司其职。</w:t>
      </w:r>
      <w:r>
        <w:rPr>
          <w:rFonts w:hint="eastAsia" w:ascii="仿宋_GB2312" w:hAnsi="仿宋_GB2312" w:eastAsia="仿宋_GB2312" w:cs="仿宋_GB2312"/>
          <w:sz w:val="32"/>
          <w:szCs w:val="32"/>
        </w:rPr>
        <w:t>“三调”工作是一项复杂的系统工程，工作量大，任务重，涉及面广，为加强组织领导，我市成立了由市人民政府分管自然资源局工作的副市长担任组长，自然资源、财政、发改、民政、司法、交通、水利水电、农业、林业、法制办、调处等相关部门为成员单位的市第三次国土调查领导小组，下设办公室（简称：市三调办），负责三调调查工作的具体业务工作和日常管理事务。</w:t>
      </w:r>
      <w:r>
        <w:rPr>
          <w:rFonts w:hint="eastAsia" w:ascii="仿宋_GB2312" w:hAnsi="仿宋_GB2312" w:eastAsia="仿宋_GB2312" w:cs="仿宋_GB2312"/>
          <w:sz w:val="32"/>
          <w:szCs w:val="32"/>
          <w:lang w:eastAsia="zh-CN"/>
        </w:rPr>
        <w:t>二是</w:t>
      </w:r>
      <w:r>
        <w:rPr>
          <w:rFonts w:hint="eastAsia" w:ascii="仿宋_GB2312" w:hAnsi="仿宋_GB2312" w:eastAsia="仿宋_GB2312" w:cs="仿宋_GB2312"/>
          <w:b/>
          <w:bCs/>
          <w:sz w:val="32"/>
          <w:szCs w:val="32"/>
        </w:rPr>
        <w:t>依法开展，科学调查。</w:t>
      </w:r>
      <w:r>
        <w:rPr>
          <w:rFonts w:hint="eastAsia" w:ascii="仿宋_GB2312" w:hAnsi="仿宋_GB2312" w:eastAsia="仿宋_GB2312" w:cs="仿宋_GB2312"/>
          <w:sz w:val="32"/>
          <w:szCs w:val="32"/>
        </w:rPr>
        <w:t>依法开展国土调查，依法提供或收集相关信息，坚持实事求是，不弄虚作假，依据规程按现状实际用途调查各种地类。依据国家和自治区的有关技术规定，科学设计调查流程，统一调查和建库的程序、方法、成果、精度和验收要求，千方百计提高数据质量，充分利用现有的自然资源管理资料和调查成果，保持调查工作的连续性。充分利用遥感、卫星定位、地理信息系统以及移动互联网、云计算、无人机等先进技术，保障调查的科学性，并且协调统计、农、林、水等相关部门的需求，保证成果适用性。</w:t>
      </w:r>
      <w:r>
        <w:rPr>
          <w:rFonts w:hint="eastAsia" w:ascii="仿宋_GB2312" w:hAnsi="仿宋_GB2312" w:eastAsia="仿宋_GB2312" w:cs="仿宋_GB2312"/>
          <w:sz w:val="32"/>
          <w:szCs w:val="32"/>
          <w:lang w:eastAsia="zh-CN"/>
        </w:rPr>
        <w:t>三是</w:t>
      </w:r>
      <w:r>
        <w:rPr>
          <w:rFonts w:hint="eastAsia" w:ascii="仿宋_GB2312" w:hAnsi="仿宋_GB2312" w:eastAsia="仿宋_GB2312" w:cs="仿宋_GB2312"/>
          <w:b/>
          <w:bCs/>
          <w:sz w:val="32"/>
          <w:szCs w:val="32"/>
        </w:rPr>
        <w:t>统一标准，确保质量。</w:t>
      </w:r>
      <w:r>
        <w:rPr>
          <w:rFonts w:hint="eastAsia" w:ascii="仿宋_GB2312" w:hAnsi="仿宋_GB2312" w:eastAsia="仿宋_GB2312" w:cs="仿宋_GB2312"/>
          <w:sz w:val="32"/>
          <w:szCs w:val="32"/>
        </w:rPr>
        <w:t>严格执行《第三次全国土地调查技术规程（试行）》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土地利用数据库标准（试行）》等国家调查规范、标准和自治区技术细则，统一调查和建库的程序、方法、成果、精度和验收要求，充分利用现有的资料和调查成果，保持调查工作的连续性，并且根据实际，确定调查技术路线和方法、制定调查的具体方案。对调查中遇到的重大技术问题，组织人员进行研究解决，保证调查成果的适用性。执行分级检查验收制度，调查结束后逐级汇总上报调查成果，国家、省、市分级负责检查验收。</w:t>
      </w:r>
      <w:r>
        <w:rPr>
          <w:rFonts w:hint="eastAsia" w:ascii="仿宋_GB2312" w:hAnsi="仿宋_GB2312" w:eastAsia="仿宋_GB2312" w:cs="仿宋_GB2312"/>
          <w:sz w:val="32"/>
          <w:szCs w:val="32"/>
          <w:lang w:eastAsia="zh-CN"/>
        </w:rPr>
        <w:t>四是</w:t>
      </w:r>
      <w:r>
        <w:rPr>
          <w:rFonts w:hint="eastAsia" w:ascii="仿宋_GB2312" w:hAnsi="仿宋_GB2312" w:eastAsia="仿宋_GB2312" w:cs="仿宋_GB2312"/>
          <w:b/>
          <w:bCs/>
          <w:sz w:val="32"/>
          <w:szCs w:val="32"/>
        </w:rPr>
        <w:t>统筹部署，加强宣传。</w:t>
      </w:r>
      <w:r>
        <w:rPr>
          <w:rFonts w:hint="eastAsia" w:ascii="仿宋_GB2312" w:hAnsi="仿宋_GB2312" w:eastAsia="仿宋_GB2312" w:cs="仿宋_GB2312"/>
          <w:sz w:val="32"/>
          <w:szCs w:val="32"/>
        </w:rPr>
        <w:t>加大投入，通过各种途径进行重点宣传，如电视广播宣传、短信宣传、横幅宣传、广播车宣传、门户网站等。</w:t>
      </w:r>
      <w:r>
        <w:rPr>
          <w:rFonts w:hint="eastAsia" w:ascii="仿宋_GB2312" w:hAnsi="仿宋_GB2312" w:eastAsia="仿宋_GB2312" w:cs="仿宋_GB2312"/>
          <w:sz w:val="32"/>
          <w:szCs w:val="32"/>
          <w:lang w:eastAsia="zh-CN"/>
        </w:rPr>
        <w:t>五是</w:t>
      </w:r>
      <w:r>
        <w:rPr>
          <w:rFonts w:hint="eastAsia" w:ascii="仿宋_GB2312" w:hAnsi="仿宋_GB2312" w:eastAsia="仿宋_GB2312" w:cs="仿宋_GB2312"/>
          <w:b/>
          <w:bCs/>
          <w:sz w:val="32"/>
          <w:szCs w:val="32"/>
        </w:rPr>
        <w:t>加强管理，制度保障。</w:t>
      </w:r>
      <w:r>
        <w:rPr>
          <w:rFonts w:hint="eastAsia" w:ascii="仿宋_GB2312" w:hAnsi="仿宋_GB2312" w:eastAsia="仿宋_GB2312" w:cs="仿宋_GB2312"/>
          <w:sz w:val="32"/>
          <w:szCs w:val="32"/>
        </w:rPr>
        <w:t>与各作业单位签订保密协议，禁止将涉密信息系统接入国际互联网及其他公共信息网络；禁止在涉密计算机与非涉密计算机之间交叉使用</w:t>
      </w:r>
      <w:r>
        <w:rPr>
          <w:rFonts w:hint="eastAsia" w:ascii="Times New Roman" w:hAnsi="Times New Roman" w:eastAsia="仿宋_GB2312" w:cs="仿宋_GB2312"/>
          <w:snapToGrid/>
          <w:sz w:val="32"/>
          <w:szCs w:val="32"/>
        </w:rPr>
        <w:t>U</w:t>
      </w:r>
      <w:r>
        <w:rPr>
          <w:rFonts w:hint="eastAsia" w:ascii="仿宋_GB2312" w:hAnsi="仿宋_GB2312" w:eastAsia="仿宋_GB2312" w:cs="仿宋_GB2312"/>
          <w:sz w:val="32"/>
          <w:szCs w:val="32"/>
        </w:rPr>
        <w:t>盘、移动硬盘等移动存储设备；禁止在没有防护措施的情况下将国际互联网等公共信息网络上的数据拷贝到涉密信息系统；禁止涉密计算机、涉密移动存储设备与非涉密计算机、非涉密移动存储设备混用；禁止使用具有无线互联功能的设备处理涉密信息。市三调办印发实施《贺州市第三次土地调查工作管理制度》《贺州市第三次土地调查工作成果质量管理主体责任》《贺州市第三次土地调查工作违法违约行为责任追究机制》《贺州市第三次土地调查工作领导小组办公室关于加强贺州市第三次国土调查工作质量管理的通知》《贺州市自然资源信息中心测绘成果保密管理制度》等相关制度，严格按照制度执行</w:t>
      </w:r>
      <w:r>
        <w:rPr>
          <w:rFonts w:hint="eastAsia" w:ascii="仿宋_GB2312" w:hAnsi="仿宋_GB2312" w:eastAsia="仿宋_GB2312" w:cs="仿宋_GB2312"/>
          <w:sz w:val="32"/>
          <w:szCs w:val="32"/>
          <w:lang w:eastAsia="zh-CN"/>
        </w:rPr>
        <w:t>，保障了工作的顺利推进和成果的保密性</w:t>
      </w:r>
      <w:r>
        <w:rPr>
          <w:rFonts w:hint="eastAsia" w:ascii="仿宋_GB2312" w:hAnsi="仿宋_GB2312" w:eastAsia="仿宋_GB2312" w:cs="仿宋_GB2312"/>
          <w:sz w:val="32"/>
          <w:szCs w:val="32"/>
        </w:rPr>
        <w:t>。</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二、项目</w:t>
      </w:r>
      <w:r>
        <w:rPr>
          <w:rFonts w:hint="eastAsia" w:ascii="黑体" w:hAnsi="黑体" w:eastAsia="黑体" w:cs="黑体"/>
          <w:sz w:val="32"/>
          <w:szCs w:val="32"/>
        </w:rPr>
        <w:t>绩效分析及评价结论</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（一）项目产出完成情况分析。</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1.产出指标</w:t>
      </w:r>
      <w:r>
        <w:rPr>
          <w:rFonts w:hint="eastAsia" w:ascii="仿宋_GB2312" w:hAnsi="仿宋_GB2312" w:eastAsia="仿宋_GB2312" w:cs="仿宋_GB2312"/>
          <w:sz w:val="32"/>
          <w:szCs w:val="32"/>
          <w:lang w:val="en-US" w:eastAsia="zh-CN"/>
        </w:rPr>
        <w:t>（满分50分，得50分）</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 数量指标（满分20分，得20分）。截至2022年底，已完成数据的发布。</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2.质量指标（满分10分，得10分）。截至2022年底，已完成数据的发布。</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3.时效指标（满分10分，得10分）。截至2022年底，已完成数据的发布。</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4.成本指标（满分10分，得10分）。截至2022年底，落实的经费均已支付到位。</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（二）项目效益情况分析。</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 社会效益指标（满分30分，得30分）。截至2022年底，已完成数据的发布。</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（三）满意度指标</w:t>
      </w:r>
      <w:r>
        <w:rPr>
          <w:rFonts w:hint="eastAsia" w:ascii="仿宋_GB2312" w:hAnsi="仿宋_GB2312" w:eastAsia="仿宋_GB2312" w:cs="仿宋_GB2312"/>
          <w:sz w:val="32"/>
          <w:szCs w:val="32"/>
          <w:lang w:val="en-US" w:eastAsia="zh-CN"/>
        </w:rPr>
        <w:t>（满分10分，得10分）</w:t>
      </w:r>
      <w:r>
        <w:rPr>
          <w:rFonts w:hint="eastAsia" w:ascii="楷体_GB2312" w:hAnsi="楷体_GB2312" w:eastAsia="楷体_GB2312" w:cs="楷体_GB2312"/>
          <w:b/>
          <w:bCs/>
          <w:sz w:val="32"/>
          <w:szCs w:val="32"/>
          <w:lang w:val="en-US" w:eastAsia="zh-CN"/>
        </w:rPr>
        <w:t>。</w:t>
      </w:r>
      <w:r>
        <w:rPr>
          <w:rFonts w:hint="eastAsia" w:ascii="仿宋_GB2312" w:hAnsi="仿宋_GB2312" w:eastAsia="仿宋_GB2312" w:cs="仿宋_GB2312"/>
          <w:sz w:val="32"/>
          <w:szCs w:val="32"/>
          <w:lang w:val="en-US" w:eastAsia="zh-CN"/>
        </w:rPr>
        <w:t>领取数据使用的单位调查满意度均达到满意。</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eastAsia="zh-CN"/>
        </w:rPr>
        <w:t>四</w:t>
      </w:r>
      <w:r>
        <w:rPr>
          <w:rFonts w:hint="eastAsia" w:ascii="楷体_GB2312" w:hAnsi="楷体_GB2312" w:eastAsia="楷体_GB2312" w:cs="楷体_GB2312"/>
          <w:b/>
          <w:bCs/>
          <w:sz w:val="32"/>
          <w:szCs w:val="32"/>
        </w:rPr>
        <w:t>）评价结果和评价结论</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lang w:eastAsia="zh-CN"/>
        </w:rPr>
        <w:t>本项目自评得分</w:t>
      </w:r>
      <w:r>
        <w:rPr>
          <w:rFonts w:hint="eastAsia" w:ascii="仿宋_GB2312" w:hAnsi="仿宋_GB2312" w:eastAsia="仿宋_GB2312" w:cs="仿宋_GB2312"/>
          <w:sz w:val="32"/>
          <w:szCs w:val="32"/>
          <w:lang w:val="en-US" w:eastAsia="zh-CN"/>
        </w:rPr>
        <w:t>94.57</w:t>
      </w:r>
      <w:bookmarkStart w:id="0" w:name="_GoBack"/>
      <w:bookmarkEnd w:id="0"/>
      <w:r>
        <w:rPr>
          <w:rFonts w:hint="eastAsia" w:ascii="仿宋_GB2312" w:hAnsi="仿宋_GB2312" w:eastAsia="仿宋_GB2312" w:cs="仿宋_GB2312"/>
          <w:sz w:val="32"/>
          <w:szCs w:val="32"/>
          <w:lang w:val="en-US" w:eastAsia="zh-CN"/>
        </w:rPr>
        <w:t>分，评价等级为全部达成年度指标。</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三、经验总结、存在问题及意见建议</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（一）主要经验及做法</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lang w:eastAsia="zh-CN"/>
        </w:rPr>
        <w:t>一是加强领导，</w:t>
      </w:r>
      <w:r>
        <w:rPr>
          <w:rFonts w:hint="eastAsia" w:ascii="仿宋_GB2312" w:hAnsi="仿宋_GB2312" w:eastAsia="仿宋_GB2312" w:cs="仿宋_GB2312"/>
          <w:sz w:val="32"/>
          <w:szCs w:val="32"/>
        </w:rPr>
        <w:t>成立工作小组，制定具体实施方案，明确任务分工，落实责</w:t>
      </w:r>
      <w:r>
        <w:rPr>
          <w:rFonts w:hint="eastAsia" w:ascii="仿宋_GB2312" w:hAnsi="仿宋_GB2312" w:eastAsia="仿宋_GB2312" w:cs="仿宋_GB2312"/>
          <w:sz w:val="32"/>
          <w:szCs w:val="32"/>
          <w:lang w:eastAsia="zh-CN"/>
        </w:rPr>
        <w:t>任；二是经市委市人民政府高度重视，落实经费保障；三是加强督促指</w:t>
      </w:r>
      <w:r>
        <w:rPr>
          <w:rFonts w:hint="eastAsia" w:ascii="仿宋_GB2312" w:hAnsi="仿宋_GB2312" w:eastAsia="仿宋_GB2312" w:cs="仿宋_GB2312"/>
          <w:sz w:val="32"/>
          <w:szCs w:val="32"/>
        </w:rPr>
        <w:t>导</w:t>
      </w:r>
      <w:r>
        <w:rPr>
          <w:rFonts w:hint="eastAsia" w:ascii="仿宋_GB2312" w:hAnsi="仿宋_GB2312" w:eastAsia="仿宋_GB2312" w:cs="仿宋_GB2312"/>
          <w:sz w:val="32"/>
          <w:szCs w:val="32"/>
          <w:lang w:eastAsia="zh-CN"/>
        </w:rPr>
        <w:t>，对工作推进不力、进度滞后、工作质量差的予以通报、约谈和重点督导；四是通过报纸、电视、广播、网络等媒体，加强宣传，取得</w:t>
      </w:r>
      <w:r>
        <w:rPr>
          <w:rFonts w:hint="eastAsia" w:ascii="仿宋_GB2312" w:hAnsi="仿宋_GB2312" w:eastAsia="仿宋_GB2312" w:cs="仿宋_GB2312"/>
          <w:sz w:val="32"/>
          <w:szCs w:val="32"/>
        </w:rPr>
        <w:t>广大农民群众和社会各界的</w:t>
      </w:r>
      <w:r>
        <w:rPr>
          <w:rFonts w:hint="eastAsia" w:ascii="仿宋_GB2312" w:hAnsi="仿宋_GB2312" w:eastAsia="仿宋_GB2312" w:cs="仿宋_GB2312"/>
          <w:sz w:val="32"/>
          <w:szCs w:val="32"/>
          <w:lang w:eastAsia="zh-CN"/>
        </w:rPr>
        <w:t>强有力</w:t>
      </w:r>
      <w:r>
        <w:rPr>
          <w:rFonts w:hint="eastAsia" w:ascii="仿宋_GB2312" w:hAnsi="仿宋_GB2312" w:eastAsia="仿宋_GB2312" w:cs="仿宋_GB2312"/>
          <w:sz w:val="32"/>
          <w:szCs w:val="32"/>
        </w:rPr>
        <w:t>支持</w:t>
      </w:r>
      <w:r>
        <w:rPr>
          <w:rFonts w:hint="eastAsia" w:ascii="仿宋_GB2312" w:hAnsi="仿宋_GB2312" w:eastAsia="仿宋_GB2312" w:cs="仿宋_GB2312"/>
          <w:sz w:val="32"/>
          <w:szCs w:val="32"/>
          <w:lang w:eastAsia="zh-CN"/>
        </w:rPr>
        <w:t>。</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bCs/>
          <w:sz w:val="32"/>
          <w:szCs w:val="32"/>
        </w:rPr>
        <w:t>（二）存在问题及原因分析</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b w:val="0"/>
          <w:bCs w:val="0"/>
          <w:sz w:val="32"/>
          <w:szCs w:val="32"/>
          <w:lang w:val="en-US" w:eastAsia="zh-CN"/>
        </w:rPr>
        <w:t>本次调查范围是全覆盖的，内容复杂，个别小地块容易出错。</w:t>
      </w:r>
    </w:p>
    <w:p>
      <w:pPr>
        <w:keepNext w:val="0"/>
        <w:keepLines w:val="0"/>
        <w:pageBreakBefore w:val="0"/>
        <w:widowControl w:val="0"/>
        <w:kinsoku/>
        <w:wordWrap/>
        <w:overflowPunct/>
        <w:topLinePunct w:val="0"/>
        <w:autoSpaceDE/>
        <w:autoSpaceDN/>
        <w:bidi w:val="0"/>
        <w:adjustRightInd w:val="0"/>
        <w:snapToGrid w:val="0"/>
        <w:spacing w:line="58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highlight w:val="none"/>
        </w:rPr>
      </w:pPr>
      <w:r>
        <w:rPr>
          <w:rFonts w:hint="eastAsia" w:ascii="楷体_GB2312" w:hAnsi="楷体_GB2312" w:eastAsia="楷体_GB2312" w:cs="楷体_GB2312"/>
          <w:b/>
          <w:bCs/>
          <w:strike w:val="0"/>
          <w:dstrike w:val="0"/>
          <w:sz w:val="32"/>
          <w:szCs w:val="32"/>
        </w:rPr>
        <w:t>（三）意见建议。</w:t>
      </w:r>
      <w:r>
        <w:rPr>
          <w:rFonts w:hint="eastAsia" w:ascii="仿宋_GB2312" w:hAnsi="仿宋_GB2312" w:eastAsia="仿宋_GB2312" w:cs="仿宋_GB2312"/>
          <w:sz w:val="32"/>
          <w:szCs w:val="32"/>
          <w:highlight w:val="none"/>
          <w:lang w:eastAsia="zh-CN"/>
        </w:rPr>
        <w:t>一是</w:t>
      </w:r>
      <w:r>
        <w:rPr>
          <w:rFonts w:hint="eastAsia" w:ascii="仿宋_GB2312" w:hAnsi="仿宋_GB2312" w:eastAsia="仿宋_GB2312" w:cs="仿宋_GB2312"/>
          <w:sz w:val="32"/>
          <w:szCs w:val="32"/>
          <w:highlight w:val="none"/>
        </w:rPr>
        <w:t>结合三调成果，编制我市国土空间规划，严格城镇建设控制在城镇开发边界内，</w:t>
      </w:r>
      <w:r>
        <w:rPr>
          <w:rFonts w:hint="eastAsia" w:ascii="仿宋_GB2312" w:hAnsi="仿宋_GB2312" w:eastAsia="仿宋_GB2312" w:cs="仿宋_GB2312"/>
          <w:sz w:val="32"/>
          <w:szCs w:val="32"/>
          <w:highlight w:val="none"/>
          <w:lang w:eastAsia="zh-CN"/>
        </w:rPr>
        <w:t>坚持集约节约用地，</w:t>
      </w:r>
      <w:r>
        <w:rPr>
          <w:rFonts w:hint="eastAsia" w:ascii="仿宋_GB2312" w:hAnsi="仿宋_GB2312" w:eastAsia="仿宋_GB2312" w:cs="仿宋_GB2312"/>
          <w:sz w:val="32"/>
          <w:szCs w:val="32"/>
          <w:highlight w:val="none"/>
        </w:rPr>
        <w:t>合理确定新增建设用地规模，</w:t>
      </w:r>
      <w:r>
        <w:rPr>
          <w:rFonts w:hint="eastAsia" w:ascii="仿宋_GB2312" w:hAnsi="仿宋_GB2312" w:eastAsia="仿宋_GB2312" w:cs="仿宋_GB2312"/>
          <w:sz w:val="32"/>
          <w:szCs w:val="32"/>
          <w:highlight w:val="none"/>
          <w:lang w:eastAsia="zh-CN"/>
        </w:rPr>
        <w:t>继续推动城乡存量建设用地开发利用，提高土地开发利用效率。二是</w:t>
      </w:r>
      <w:r>
        <w:rPr>
          <w:rFonts w:hint="eastAsia" w:ascii="仿宋_GB2312" w:hAnsi="仿宋_GB2312" w:eastAsia="仿宋_GB2312" w:cs="仿宋_GB2312"/>
          <w:sz w:val="32"/>
          <w:szCs w:val="32"/>
          <w:highlight w:val="none"/>
        </w:rPr>
        <w:t>结合三调成果，编制我市村庄规划，为农村一二三产业融合发展提供详实数据，为乡村振兴提供保障。</w:t>
      </w:r>
      <w:r>
        <w:rPr>
          <w:rFonts w:hint="eastAsia" w:ascii="仿宋_GB2312" w:hAnsi="仿宋_GB2312" w:eastAsia="仿宋_GB2312" w:cs="仿宋_GB2312"/>
          <w:sz w:val="32"/>
          <w:szCs w:val="32"/>
          <w:highlight w:val="none"/>
          <w:lang w:eastAsia="zh-CN"/>
        </w:rPr>
        <w:t>三是</w:t>
      </w:r>
      <w:r>
        <w:rPr>
          <w:rFonts w:hint="eastAsia" w:ascii="仿宋_GB2312" w:hAnsi="仿宋_GB2312" w:eastAsia="仿宋_GB2312" w:cs="仿宋_GB2312"/>
          <w:sz w:val="32"/>
          <w:szCs w:val="32"/>
          <w:highlight w:val="none"/>
        </w:rPr>
        <w:t>结合三调成果，合理制定耕地保护责任目标，严格编制永久基本农田保护规划</w:t>
      </w:r>
      <w:r>
        <w:rPr>
          <w:rFonts w:hint="eastAsia" w:ascii="仿宋_GB2312" w:hAnsi="仿宋_GB2312" w:eastAsia="仿宋_GB2312" w:cs="仿宋_GB2312"/>
          <w:sz w:val="32"/>
          <w:szCs w:val="32"/>
          <w:highlight w:val="none"/>
          <w:lang w:eastAsia="zh-CN"/>
        </w:rPr>
        <w:t>。四是</w:t>
      </w:r>
      <w:r>
        <w:rPr>
          <w:rFonts w:hint="eastAsia" w:ascii="仿宋_GB2312" w:hAnsi="仿宋_GB2312" w:eastAsia="仿宋_GB2312" w:cs="仿宋_GB2312"/>
          <w:sz w:val="32"/>
          <w:szCs w:val="32"/>
          <w:highlight w:val="none"/>
        </w:rPr>
        <w:t>加强三调数据的共享共用，纳入“一张图”管理，</w:t>
      </w:r>
      <w:r>
        <w:rPr>
          <w:rFonts w:hint="eastAsia" w:ascii="仿宋_GB2312" w:hAnsi="仿宋_GB2312" w:eastAsia="仿宋_GB2312" w:cs="仿宋_GB2312"/>
          <w:sz w:val="32"/>
          <w:szCs w:val="32"/>
          <w:highlight w:val="none"/>
          <w:lang w:eastAsia="zh-CN"/>
        </w:rPr>
        <w:t>实现调查数据二、三维一体化管理、可视化分析、二三维交互分析、多维度分析，支持多终端应用。通过成果集成，实现对各类空间利用数据的统一管理、空间分析等功能，</w:t>
      </w:r>
      <w:r>
        <w:rPr>
          <w:rFonts w:hint="eastAsia" w:ascii="仿宋_GB2312" w:hAnsi="仿宋_GB2312" w:eastAsia="仿宋_GB2312" w:cs="仿宋_GB2312"/>
          <w:sz w:val="32"/>
          <w:szCs w:val="32"/>
          <w:highlight w:val="none"/>
        </w:rPr>
        <w:t>为我市制定</w:t>
      </w:r>
      <w:r>
        <w:rPr>
          <w:rFonts w:hint="eastAsia" w:ascii="仿宋_GB2312" w:hAnsi="仿宋_GB2312" w:eastAsia="仿宋_GB2312" w:cs="仿宋_GB2312"/>
          <w:sz w:val="32"/>
          <w:szCs w:val="32"/>
          <w:highlight w:val="none"/>
          <w:lang w:eastAsia="zh-CN"/>
        </w:rPr>
        <w:t>社会</w:t>
      </w:r>
      <w:r>
        <w:rPr>
          <w:rFonts w:hint="eastAsia" w:ascii="仿宋_GB2312" w:hAnsi="仿宋_GB2312" w:eastAsia="仿宋_GB2312" w:cs="仿宋_GB2312"/>
          <w:sz w:val="32"/>
          <w:szCs w:val="32"/>
          <w:highlight w:val="none"/>
        </w:rPr>
        <w:t>经济发展计划奠定重要数据基础。</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w:t>
      </w:r>
    </w:p>
    <w:sectPr>
      <w:footerReference r:id="rId3" w:type="default"/>
      <w:pgNumType w:fmt="numberInDash" w:start="7"/>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Arial">
    <w:panose1 w:val="020B0604020202020204"/>
    <w:charset w:val="00"/>
    <w:family w:val="auto"/>
    <w:pitch w:val="default"/>
    <w:sig w:usb0="E0002AFF" w:usb1="C0007843" w:usb2="00000009" w:usb3="00000000" w:csb0="400001FF" w:csb1="FFFF0000"/>
  </w:font>
  <w:font w:name="楷体_GB2312">
    <w:altName w:val="楷体"/>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方正中等线简体 Regular">
    <w:altName w:val="黑体"/>
    <w:panose1 w:val="00000000000000000000"/>
    <w:charset w:val="86"/>
    <w:family w:val="auto"/>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创艺简黑体">
    <w:altName w:val="Times New Roman"/>
    <w:panose1 w:val="00000000000000000000"/>
    <w:charset w:val="00"/>
    <w:family w:val="auto"/>
    <w:pitch w:val="default"/>
    <w:sig w:usb0="00000000" w:usb1="00000000" w:usb2="00000000" w:usb3="00000000" w:csb0="00040001" w:csb1="00000000"/>
  </w:font>
  <w:font w:name="汉仪大黑简 regular">
    <w:altName w:val="黑体"/>
    <w:panose1 w:val="00000000000000000000"/>
    <w:charset w:val="86"/>
    <w:family w:val="auto"/>
    <w:pitch w:val="default"/>
    <w:sig w:usb0="00000000" w:usb1="00000000" w:usb2="00000010" w:usb3="00000000" w:csb0="00040000" w:csb1="00000000"/>
  </w:font>
  <w:font w:name="FangSong_GB2312">
    <w:altName w:val="仿宋_GB2312"/>
    <w:panose1 w:val="00000000000000000000"/>
    <w:charset w:val="86"/>
    <w:family w:val="auto"/>
    <w:pitch w:val="default"/>
    <w:sig w:usb0="00000000" w:usb1="00000000" w:usb2="00000000" w:usb3="00000000" w:csb0="00040000" w:csb1="00000000"/>
  </w:font>
  <w:font w:name="宋体-方正超大字符集">
    <w:altName w:val="宋体"/>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haracterSpacingControl w:val="compressPunctuation"/>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E341A"/>
    <w:rsid w:val="035E7C82"/>
    <w:rsid w:val="038C7FC6"/>
    <w:rsid w:val="076F5762"/>
    <w:rsid w:val="09AC3A9C"/>
    <w:rsid w:val="09C21CCC"/>
    <w:rsid w:val="0B6435CB"/>
    <w:rsid w:val="0EE55C30"/>
    <w:rsid w:val="14D421C7"/>
    <w:rsid w:val="15156077"/>
    <w:rsid w:val="15485378"/>
    <w:rsid w:val="15A84BD2"/>
    <w:rsid w:val="16F11180"/>
    <w:rsid w:val="18AF055F"/>
    <w:rsid w:val="1D024DFC"/>
    <w:rsid w:val="203F6352"/>
    <w:rsid w:val="23F36718"/>
    <w:rsid w:val="2424631C"/>
    <w:rsid w:val="253F591E"/>
    <w:rsid w:val="28DD7535"/>
    <w:rsid w:val="2B1227DD"/>
    <w:rsid w:val="2C445A27"/>
    <w:rsid w:val="2D2C7B74"/>
    <w:rsid w:val="2D4D461D"/>
    <w:rsid w:val="2D8D7C9C"/>
    <w:rsid w:val="2DC64C6A"/>
    <w:rsid w:val="2EBC29C4"/>
    <w:rsid w:val="318D4CF3"/>
    <w:rsid w:val="31AE347F"/>
    <w:rsid w:val="32CD165C"/>
    <w:rsid w:val="34416B1F"/>
    <w:rsid w:val="34D14FDD"/>
    <w:rsid w:val="3AB127EE"/>
    <w:rsid w:val="3C280799"/>
    <w:rsid w:val="3D2F0EAB"/>
    <w:rsid w:val="3E4C4CEE"/>
    <w:rsid w:val="40E45F08"/>
    <w:rsid w:val="41C104B8"/>
    <w:rsid w:val="42D75E91"/>
    <w:rsid w:val="4D3E2113"/>
    <w:rsid w:val="4ECD0705"/>
    <w:rsid w:val="509F7A23"/>
    <w:rsid w:val="52786F2C"/>
    <w:rsid w:val="59C65459"/>
    <w:rsid w:val="5C170AC4"/>
    <w:rsid w:val="5EA15A89"/>
    <w:rsid w:val="602D22D0"/>
    <w:rsid w:val="60361FE4"/>
    <w:rsid w:val="60B46C32"/>
    <w:rsid w:val="6231112D"/>
    <w:rsid w:val="6703068A"/>
    <w:rsid w:val="690E1644"/>
    <w:rsid w:val="6A217CCB"/>
    <w:rsid w:val="6E25288F"/>
    <w:rsid w:val="6E802565"/>
    <w:rsid w:val="6FEF74C0"/>
    <w:rsid w:val="759077BF"/>
    <w:rsid w:val="7992405F"/>
    <w:rsid w:val="7B2506E1"/>
    <w:rsid w:val="7E15548C"/>
    <w:rsid w:val="7FDA39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customStyle="1" w:styleId="2">
    <w:name w:val="Default"/>
    <w:next w:val="3"/>
    <w:unhideWhenUsed/>
    <w:qFormat/>
    <w:uiPriority w:val="99"/>
    <w:pPr>
      <w:widowControl w:val="0"/>
      <w:autoSpaceDE w:val="0"/>
      <w:autoSpaceDN w:val="0"/>
      <w:adjustRightInd w:val="0"/>
      <w:spacing w:beforeLines="0" w:afterLines="0"/>
    </w:pPr>
    <w:rPr>
      <w:rFonts w:hint="eastAsia" w:ascii="FangSong_GB2312" w:hAnsi="FangSong_GB2312" w:eastAsia="FangSong_GB2312" w:cs="Times New Roman"/>
      <w:color w:val="000000"/>
      <w:sz w:val="24"/>
    </w:rPr>
  </w:style>
  <w:style w:type="paragraph" w:customStyle="1" w:styleId="3">
    <w:name w:val="正文文字 6"/>
    <w:next w:val="1"/>
    <w:qFormat/>
    <w:uiPriority w:val="99"/>
    <w:pPr>
      <w:widowControl w:val="0"/>
      <w:ind w:left="240"/>
      <w:jc w:val="both"/>
    </w:pPr>
    <w:rPr>
      <w:rFonts w:ascii="宋体" w:hAnsi="Times New Roman" w:eastAsia="宋体" w:cs="Times New Roman"/>
      <w:b/>
      <w:bCs/>
      <w:kern w:val="2"/>
      <w:sz w:val="32"/>
      <w:szCs w:val="32"/>
      <w:lang w:val="en-US" w:eastAsia="zh-CN" w:bidi="ar-SA"/>
    </w:rPr>
  </w:style>
  <w:style w:type="paragraph" w:styleId="4">
    <w:name w:val="Plain Text"/>
    <w:basedOn w:val="1"/>
    <w:qFormat/>
    <w:uiPriority w:val="0"/>
    <w:rPr>
      <w:rFonts w:ascii="宋体" w:hAnsi="Courier New"/>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Office_10.8.0.6423_F1E327BC-269C-435d-A152-05C5408002CA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2019-04-02T08:33:00Z</dcterms:created>
  <dc:creator>CZJ</dc:creator>
  <cp:lastModifiedBy>陆廷军</cp:lastModifiedBy>
  <cp:lastPrinted>2022-04-15T01:21:00Z</cp:lastPrinted>
  <dcterms:modified xsi:type="dcterms:W3CDTF">2023-03-14T09:42:31Z</dcterms:modified>
  <dc:title>附件5</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