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贺州市本级征地片区综合地价更新调整、全市成果汇交及市本级中心城区征地拆迁补偿及安置标准更新项目方案项目支出绩效自评报告</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项目名称：贺州市本级征地片区综合地价更新调整、全市成果汇交及市本级中心城区征地拆迁补偿及安置标准更新项目方案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6</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贺州市本级征地片区综合地价更新调整、全市成果汇交及市本级中心城区征地拆迁补偿及安置标准更新项目方案</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徐彬栩</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rPr>
            </w:pPr>
            <w:r>
              <w:rPr>
                <w:rFonts w:hint="eastAsia" w:ascii="宋体" w:hAnsi="宋体" w:eastAsia="宋体" w:cs="宋体"/>
                <w:sz w:val="18"/>
                <w:szCs w:val="18"/>
                <w:highlight w:val="cyan"/>
              </w:rPr>
              <w:t>5685922</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贺财建函〔2022〕249号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2022年</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2022年1年    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 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1 个；  其中：市本级 1 个，县（区）0个。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广西壮族自治区自然资源厅办公室关于印发广西壮族自治区征地区片综合地价更新调整工作方案的通知（桂自然资办〔2022〕260号）文件要求</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3.公开招标立项的项目</w:t>
            </w:r>
            <w:r>
              <w:rPr>
                <w:rFonts w:hint="eastAsia" w:ascii="仿宋_GB2312" w:hAnsi="仿宋_GB2312" w:eastAsia="仿宋_GB2312" w:cs="仿宋_GB2312"/>
                <w:sz w:val="18"/>
                <w:szCs w:val="18"/>
                <w:lang w:val="en-US" w:eastAsia="zh-CN"/>
              </w:rPr>
              <w:t>√</w:t>
            </w:r>
            <w:r>
              <w:rPr>
                <w:rFonts w:hint="eastAsia" w:ascii="宋体" w:hAnsi="宋体" w:eastAsia="宋体" w:cs="宋体"/>
                <w:sz w:val="18"/>
                <w:szCs w:val="18"/>
                <w:lang w:val="en-US" w:eastAsia="zh-CN"/>
              </w:rPr>
              <w:t xml:space="preserve">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79"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20.3</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4.06</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4.06</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4.06</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100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贺州市本级征地片区综合地价更新调整、全市成果汇交及市本级中心城区征地拆迁补偿及安置标准更新项目方案第一期合同款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4.06</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4.06</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rPr>
              <w:t>贺财建函〔2022〕249号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姓名：徐彬栩</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：耕地保护监督科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姓名：叶新民</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：耕地保护监督科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姓名：朱丽娟</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：耕地保护监督科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b w:val="0"/>
          <w:bCs w:val="0"/>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sz w:val="32"/>
          <w:szCs w:val="32"/>
        </w:rPr>
        <w:t>广西壮族自治区自然资源厅办公室关于印发广西壮族自治区征地区片综合地价更新调整工作方案的通知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（桂自然资办</w:t>
      </w:r>
      <w:r>
        <w:rPr>
          <w:rFonts w:hint="default" w:ascii="Times New Roman" w:hAnsi="Times New Roman" w:eastAsia="仿宋_GB2312" w:cs="Times New Roman"/>
          <w:sz w:val="32"/>
          <w:szCs w:val="32"/>
        </w:rPr>
        <w:t>〔2022〕260号）</w:t>
      </w:r>
      <w:r>
        <w:rPr>
          <w:rFonts w:hint="eastAsia" w:ascii="仿宋_GB2312" w:hAnsi="仿宋_GB2312" w:eastAsia="仿宋_GB2312" w:cs="仿宋_GB2312"/>
          <w:sz w:val="32"/>
          <w:szCs w:val="32"/>
        </w:rPr>
        <w:t>文件要求，征地区片综合地价应结合经济社会发展情况，至少每三年调整或重新公布一次。我市人民政府公布贺州市各县（区）征地区片综合地价标准是从2020年1月</w:t>
      </w:r>
      <w:r>
        <w:rPr>
          <w:rFonts w:hint="eastAsia" w:ascii="Times New Roman" w:hAnsi="Times New Roman" w:eastAsia="仿宋_GB2312" w:cs="Times New Roman"/>
          <w:sz w:val="32"/>
          <w:szCs w:val="32"/>
        </w:rPr>
        <w:t>1</w:t>
      </w:r>
      <w:r>
        <w:rPr>
          <w:rFonts w:hint="eastAsia" w:ascii="仿宋_GB2312" w:hAnsi="仿宋_GB2312" w:eastAsia="仿宋_GB2312" w:cs="仿宋_GB2312"/>
          <w:sz w:val="32"/>
          <w:szCs w:val="32"/>
        </w:rPr>
        <w:t>日起实施，至今已经三年了，需要重新调整更新。</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val="0"/>
          <w:sz w:val="32"/>
          <w:szCs w:val="32"/>
          <w:lang w:eastAsia="zh-CN"/>
        </w:rPr>
        <w:t>在收到《</w:t>
      </w:r>
      <w:r>
        <w:rPr>
          <w:rFonts w:hint="eastAsia" w:ascii="仿宋_GB2312" w:hAnsi="仿宋_GB2312" w:eastAsia="仿宋_GB2312" w:cs="仿宋_GB2312"/>
          <w:sz w:val="32"/>
          <w:szCs w:val="32"/>
        </w:rPr>
        <w:t>广西壮族自治区自然资源厅办公室关于印发广西壮族自治区征地区片综合地价更新调整工作方案的通知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（桂自然资办</w:t>
      </w:r>
      <w:r>
        <w:rPr>
          <w:rFonts w:hint="default" w:ascii="Times New Roman" w:hAnsi="Times New Roman" w:eastAsia="仿宋_GB2312" w:cs="Times New Roman"/>
          <w:sz w:val="32"/>
          <w:szCs w:val="32"/>
        </w:rPr>
        <w:t>〔2022〕260号）</w:t>
      </w:r>
      <w:r>
        <w:rPr>
          <w:rFonts w:hint="eastAsia" w:ascii="仿宋_GB2312" w:hAnsi="仿宋_GB2312" w:eastAsia="仿宋_GB2312" w:cs="仿宋_GB2312"/>
          <w:sz w:val="32"/>
          <w:szCs w:val="32"/>
          <w:lang w:eastAsia="zh-CN"/>
        </w:rPr>
        <w:t>文件后，我局及时向市政府申请工作经费。在经费落实后，</w:t>
      </w:r>
      <w:r>
        <w:rPr>
          <w:rFonts w:hint="eastAsia" w:ascii="仿宋_GB2312" w:hAnsi="仿宋_GB2312" w:eastAsia="仿宋_GB2312" w:cs="仿宋_GB2312"/>
          <w:sz w:val="32"/>
          <w:szCs w:val="32"/>
          <w:lang w:val="en-US" w:eastAsia="zh-CN"/>
        </w:rPr>
        <w:t>我局按照程序通过公开招投标的方式确定技术承担单位，</w:t>
      </w:r>
      <w:r>
        <w:rPr>
          <w:rFonts w:hint="eastAsia" w:ascii="仿宋_GB2312" w:hAnsi="仿宋_GB2312" w:eastAsia="仿宋_GB2312" w:cs="仿宋_GB2312"/>
          <w:color w:val="auto"/>
          <w:sz w:val="32"/>
          <w:szCs w:val="32"/>
          <w:lang w:val="en-US" w:eastAsia="zh-CN"/>
        </w:rPr>
        <w:t>支付合同总金额</w:t>
      </w:r>
      <w:r>
        <w:rPr>
          <w:rFonts w:hint="default" w:ascii="Times New Roman" w:hAnsi="Times New Roman" w:eastAsia="仿宋_GB2312" w:cs="Times New Roman"/>
          <w:color w:val="auto"/>
          <w:sz w:val="32"/>
          <w:szCs w:val="32"/>
          <w:lang w:val="en-US" w:eastAsia="zh-CN"/>
        </w:rPr>
        <w:t>20%的人民币4.06万</w:t>
      </w:r>
      <w:r>
        <w:rPr>
          <w:rFonts w:hint="eastAsia" w:ascii="仿宋_GB2312" w:hAnsi="仿宋_GB2312" w:eastAsia="仿宋_GB2312" w:cs="仿宋_GB2312"/>
          <w:color w:val="auto"/>
          <w:sz w:val="32"/>
          <w:szCs w:val="32"/>
          <w:lang w:val="en-US" w:eastAsia="zh-CN"/>
        </w:rPr>
        <w:t>元作为前期工作经费。后在项目成果报告通过自治区批复后一次性付清。</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z w:val="32"/>
          <w:szCs w:val="32"/>
          <w:lang w:val="en-US" w:eastAsia="zh-CN"/>
        </w:rPr>
        <w:t>1.</w:t>
      </w:r>
      <w:r>
        <w:rPr>
          <w:rFonts w:hint="eastAsia" w:ascii="仿宋_GB2312" w:hAnsi="仿宋_GB2312" w:eastAsia="仿宋_GB2312" w:cs="仿宋_GB2312"/>
          <w:sz w:val="32"/>
          <w:szCs w:val="32"/>
          <w:lang w:val="en-US" w:eastAsia="zh-CN"/>
        </w:rPr>
        <w:t>项目组织情况。</w:t>
      </w:r>
      <w:r>
        <w:rPr>
          <w:rFonts w:hint="eastAsia" w:ascii="仿宋_GB2312" w:hAnsi="仿宋_GB2312" w:eastAsia="仿宋_GB2312" w:cs="仿宋_GB2312"/>
          <w:sz w:val="32"/>
          <w:szCs w:val="32"/>
        </w:rPr>
        <w:t>桂自然资办</w:t>
      </w:r>
      <w:r>
        <w:rPr>
          <w:rFonts w:hint="default" w:ascii="Times New Roman" w:hAnsi="Times New Roman" w:eastAsia="仿宋_GB2312" w:cs="Times New Roman"/>
          <w:sz w:val="32"/>
          <w:szCs w:val="32"/>
        </w:rPr>
        <w:t>〔2022〕260号）</w:t>
      </w:r>
      <w:r>
        <w:rPr>
          <w:rFonts w:hint="eastAsia" w:ascii="仿宋_GB2312" w:hAnsi="仿宋_GB2312" w:eastAsia="仿宋_GB2312" w:cs="仿宋_GB2312"/>
          <w:sz w:val="32"/>
          <w:szCs w:val="32"/>
        </w:rPr>
        <w:t>文件要求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对我市</w:t>
      </w:r>
      <w:r>
        <w:rPr>
          <w:rFonts w:hint="eastAsia" w:ascii="Times New Roman" w:hAnsi="Times New Roman" w:eastAsia="仿宋_GB2312" w:cs="Times New Roman"/>
          <w:sz w:val="32"/>
          <w:szCs w:val="32"/>
          <w:lang w:val="en-US" w:eastAsia="zh-CN"/>
        </w:rPr>
        <w:t>2020</w:t>
      </w:r>
      <w:r>
        <w:rPr>
          <w:rFonts w:hint="eastAsia" w:ascii="仿宋_GB2312" w:hAnsi="仿宋_GB2312" w:eastAsia="仿宋_GB2312" w:cs="仿宋_GB2312"/>
          <w:sz w:val="32"/>
          <w:szCs w:val="32"/>
          <w:lang w:val="en-US" w:eastAsia="zh-CN"/>
        </w:rPr>
        <w:t>年公布的</w:t>
      </w:r>
      <w:r>
        <w:rPr>
          <w:rFonts w:hint="eastAsia" w:ascii="仿宋_GB2312" w:hAnsi="仿宋_GB2312" w:eastAsia="仿宋_GB2312" w:cs="仿宋_GB2312"/>
          <w:sz w:val="32"/>
          <w:szCs w:val="32"/>
        </w:rPr>
        <w:t>征地区片综合地价</w:t>
      </w:r>
      <w:r>
        <w:rPr>
          <w:rFonts w:hint="eastAsia" w:ascii="仿宋_GB2312" w:hAnsi="仿宋_GB2312" w:eastAsia="仿宋_GB2312" w:cs="仿宋_GB2312"/>
          <w:sz w:val="32"/>
          <w:szCs w:val="32"/>
          <w:lang w:eastAsia="zh-CN"/>
        </w:rPr>
        <w:t>进行调整更新，同时对我市中心城区征地拆迁补偿安置标准进行更新完善。</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kern w:val="2"/>
          <w:sz w:val="32"/>
          <w:szCs w:val="32"/>
          <w:lang w:val="en-US" w:eastAsia="zh-CN" w:bidi="ar-SA"/>
        </w:rPr>
        <w:t>2.</w:t>
      </w:r>
      <w:r>
        <w:rPr>
          <w:rFonts w:hint="eastAsia" w:ascii="仿宋_GB2312" w:hAnsi="仿宋_GB2312" w:eastAsia="仿宋_GB2312" w:cs="仿宋_GB2312"/>
          <w:sz w:val="32"/>
          <w:szCs w:val="32"/>
          <w:lang w:val="en-US" w:eastAsia="zh-CN"/>
        </w:rPr>
        <w:t>项目管理情况。项目实施过程中，与技术承担单位密切沟通联系，妥善解决项目推进过程中遇到困难和问题。</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eastAsia" w:ascii="Times New Roman" w:hAnsi="Times New Roman" w:eastAsia="仿宋_GB2312" w:cs="Times New Roman"/>
          <w:sz w:val="32"/>
          <w:szCs w:val="32"/>
          <w:lang w:val="en-US" w:eastAsia="zh-CN"/>
        </w:rPr>
        <w:t>1</w:t>
      </w:r>
      <w:r>
        <w:rPr>
          <w:rFonts w:hint="eastAsia" w:ascii="仿宋_GB2312" w:hAnsi="仿宋_GB2312" w:eastAsia="仿宋_GB2312" w:cs="仿宋_GB2312"/>
          <w:sz w:val="32"/>
          <w:szCs w:val="32"/>
          <w:lang w:val="en-US" w:eastAsia="zh-CN"/>
        </w:rPr>
        <w:t>）数量指标 ：一是贺州市征地区片价成果；二是市中心城区项目建设征地拆迁补偿标准成果，成果及材料符合技术规程要求。（满分</w:t>
      </w:r>
      <w:r>
        <w:rPr>
          <w:rFonts w:hint="eastAsia" w:ascii="Times New Roman" w:hAnsi="Times New Roman" w:eastAsia="仿宋_GB2312" w:cs="Times New Roman"/>
          <w:sz w:val="32"/>
          <w:szCs w:val="32"/>
          <w:lang w:val="en-US" w:eastAsia="zh-CN"/>
        </w:rPr>
        <w:t>20分，得20分</w:t>
      </w:r>
      <w:r>
        <w:rPr>
          <w:rFonts w:hint="eastAsia" w:ascii="仿宋_GB2312" w:hAnsi="仿宋_GB2312" w:eastAsia="仿宋_GB2312" w:cs="仿宋_GB2312"/>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eastAsia" w:ascii="Times New Roman" w:hAnsi="Times New Roman" w:eastAsia="仿宋_GB2312" w:cs="Times New Roman"/>
          <w:sz w:val="32"/>
          <w:szCs w:val="32"/>
          <w:lang w:val="en-US" w:eastAsia="zh-CN"/>
        </w:rPr>
        <w:t>2</w:t>
      </w:r>
      <w:r>
        <w:rPr>
          <w:rFonts w:hint="eastAsia" w:ascii="仿宋_GB2312" w:hAnsi="仿宋_GB2312" w:eastAsia="仿宋_GB2312" w:cs="仿宋_GB2312"/>
          <w:sz w:val="32"/>
          <w:szCs w:val="32"/>
          <w:lang w:val="en-US" w:eastAsia="zh-CN"/>
        </w:rPr>
        <w:t>）质量指标：一是贺州市征地区片综合地价更新调整成果通过自治区审查；二是贺州市中心城区项目建设征地拆迁补偿标准更新调整通过市人民政府审查。成果通过自治区、市人民政府审查。（满分</w:t>
      </w:r>
      <w:r>
        <w:rPr>
          <w:rFonts w:hint="eastAsia" w:ascii="Times New Roman" w:hAnsi="Times New Roman" w:eastAsia="仿宋_GB2312" w:cs="Times New Roman"/>
          <w:sz w:val="32"/>
          <w:szCs w:val="32"/>
          <w:lang w:val="en-US" w:eastAsia="zh-CN"/>
        </w:rPr>
        <w:t>10分，得10分</w:t>
      </w:r>
      <w:r>
        <w:rPr>
          <w:rFonts w:hint="eastAsia" w:ascii="仿宋_GB2312" w:hAnsi="仿宋_GB2312" w:eastAsia="仿宋_GB2312" w:cs="仿宋_GB2312"/>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eastAsia" w:ascii="Times New Roman" w:hAnsi="Times New Roman" w:eastAsia="仿宋_GB2312" w:cs="Times New Roman"/>
          <w:sz w:val="32"/>
          <w:szCs w:val="32"/>
          <w:lang w:val="en-US" w:eastAsia="zh-CN"/>
        </w:rPr>
        <w:t>3</w:t>
      </w:r>
      <w:r>
        <w:rPr>
          <w:rFonts w:hint="eastAsia" w:ascii="仿宋_GB2312" w:hAnsi="仿宋_GB2312" w:eastAsia="仿宋_GB2312" w:cs="仿宋_GB2312"/>
          <w:sz w:val="32"/>
          <w:szCs w:val="32"/>
          <w:lang w:val="en-US" w:eastAsia="zh-CN"/>
        </w:rPr>
        <w:t>）时效指标：一是贺州市区片价调整方案在</w:t>
      </w:r>
      <w:r>
        <w:rPr>
          <w:rFonts w:hint="eastAsia" w:ascii="Times New Roman" w:hAnsi="Times New Roman" w:eastAsia="仿宋_GB2312" w:cs="Times New Roman"/>
          <w:sz w:val="32"/>
          <w:szCs w:val="32"/>
          <w:lang w:val="en-US" w:eastAsia="zh-CN"/>
        </w:rPr>
        <w:t>2023年1</w:t>
      </w:r>
      <w:r>
        <w:rPr>
          <w:rFonts w:hint="eastAsia" w:ascii="仿宋_GB2312" w:hAnsi="仿宋_GB2312" w:eastAsia="仿宋_GB2312" w:cs="仿宋_GB2312"/>
          <w:sz w:val="32"/>
          <w:szCs w:val="32"/>
          <w:lang w:val="en-US" w:eastAsia="zh-CN"/>
        </w:rPr>
        <w:t>月底完成；二是贺州市中心城区项目建设征地拆迁补偿标准更新调整方案</w:t>
      </w:r>
      <w:r>
        <w:rPr>
          <w:rFonts w:hint="eastAsia" w:ascii="Times New Roman" w:hAnsi="Times New Roman" w:eastAsia="仿宋_GB2312" w:cs="Times New Roman"/>
          <w:sz w:val="32"/>
          <w:szCs w:val="32"/>
          <w:lang w:val="en-US" w:eastAsia="zh-CN"/>
        </w:rPr>
        <w:t>在2023年</w:t>
      </w:r>
      <w:r>
        <w:rPr>
          <w:rFonts w:hint="eastAsia" w:ascii="仿宋_GB2312" w:hAnsi="仿宋_GB2312" w:eastAsia="仿宋_GB2312" w:cs="仿宋_GB2312"/>
          <w:sz w:val="32"/>
          <w:szCs w:val="32"/>
          <w:lang w:val="en-US" w:eastAsia="zh-CN"/>
        </w:rPr>
        <w:t>底完成。（</w:t>
      </w:r>
      <w:r>
        <w:rPr>
          <w:rFonts w:hint="eastAsia" w:ascii="Times New Roman" w:hAnsi="Times New Roman" w:eastAsia="仿宋_GB2312" w:cs="Times New Roman"/>
          <w:sz w:val="32"/>
          <w:szCs w:val="32"/>
          <w:lang w:val="en-US" w:eastAsia="zh-CN"/>
        </w:rPr>
        <w:t>满分10分，得10分</w:t>
      </w:r>
      <w:r>
        <w:rPr>
          <w:rFonts w:hint="eastAsia" w:ascii="仿宋_GB2312" w:hAnsi="仿宋_GB2312" w:eastAsia="仿宋_GB2312" w:cs="仿宋_GB2312"/>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eastAsia" w:ascii="Times New Roman" w:hAnsi="Times New Roman" w:eastAsia="仿宋_GB2312" w:cs="Times New Roman"/>
          <w:sz w:val="32"/>
          <w:szCs w:val="32"/>
          <w:lang w:val="en-US" w:eastAsia="zh-CN"/>
        </w:rPr>
        <w:t>4</w:t>
      </w:r>
      <w:r>
        <w:rPr>
          <w:rFonts w:hint="eastAsia" w:ascii="仿宋_GB2312" w:hAnsi="仿宋_GB2312" w:eastAsia="仿宋_GB2312" w:cs="仿宋_GB2312"/>
          <w:sz w:val="32"/>
          <w:szCs w:val="32"/>
          <w:lang w:val="en-US" w:eastAsia="zh-CN"/>
        </w:rPr>
        <w:t>）成本指标：不突破年度预算金额（满分</w:t>
      </w:r>
      <w:r>
        <w:rPr>
          <w:rFonts w:hint="eastAsia" w:ascii="Times New Roman" w:hAnsi="Times New Roman" w:eastAsia="仿宋_GB2312" w:cs="Times New Roman"/>
          <w:sz w:val="32"/>
          <w:szCs w:val="32"/>
          <w:lang w:val="en-US" w:eastAsia="zh-CN"/>
        </w:rPr>
        <w:t>10分，得10</w:t>
      </w:r>
      <w:r>
        <w:rPr>
          <w:rFonts w:hint="eastAsia" w:ascii="仿宋_GB2312" w:hAnsi="仿宋_GB2312" w:eastAsia="仿宋_GB2312" w:cs="仿宋_GB2312"/>
          <w:sz w:val="32"/>
          <w:szCs w:val="32"/>
          <w:lang w:val="en-US" w:eastAsia="zh-CN"/>
        </w:rPr>
        <w:t>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综上，总分</w:t>
      </w:r>
      <w:r>
        <w:rPr>
          <w:rFonts w:hint="eastAsia" w:ascii="Times New Roman" w:hAnsi="Times New Roman" w:eastAsia="仿宋_GB2312" w:cs="Times New Roman"/>
          <w:sz w:val="32"/>
          <w:szCs w:val="32"/>
          <w:lang w:val="en-US" w:eastAsia="zh-CN"/>
        </w:rPr>
        <w:t>50分，得分50分</w:t>
      </w:r>
      <w:r>
        <w:rPr>
          <w:rFonts w:hint="eastAsia" w:ascii="仿宋_GB2312" w:hAnsi="仿宋_GB2312" w:eastAsia="仿宋_GB2312" w:cs="仿宋_GB2312"/>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w:t>
      </w:r>
      <w:r>
        <w:rPr>
          <w:rFonts w:hint="eastAsia" w:ascii="仿宋_GB2312" w:hAnsi="仿宋_GB2312" w:eastAsia="仿宋_GB2312" w:cs="仿宋_GB2312"/>
          <w:sz w:val="32"/>
          <w:szCs w:val="32"/>
        </w:rPr>
        <w:t>征地区片综合地价更新调整及贺州市中心城区项目建设征地拆迁补偿标准更新调整</w:t>
      </w:r>
      <w:r>
        <w:rPr>
          <w:rFonts w:hint="eastAsia" w:ascii="仿宋_GB2312" w:hAnsi="仿宋_GB2312" w:eastAsia="仿宋_GB2312" w:cs="仿宋_GB2312"/>
          <w:sz w:val="32"/>
          <w:szCs w:val="32"/>
          <w:lang w:val="en-US" w:eastAsia="zh-CN"/>
        </w:rPr>
        <w:t>，实施各县（区）新一轮</w:t>
      </w:r>
      <w:r>
        <w:rPr>
          <w:rFonts w:hint="eastAsia" w:ascii="仿宋_GB2312" w:hAnsi="仿宋_GB2312" w:eastAsia="仿宋_GB2312" w:cs="仿宋_GB2312"/>
          <w:sz w:val="32"/>
          <w:szCs w:val="32"/>
        </w:rPr>
        <w:t>征地区片综合地价</w:t>
      </w:r>
      <w:r>
        <w:rPr>
          <w:rFonts w:hint="eastAsia" w:ascii="仿宋_GB2312" w:hAnsi="仿宋_GB2312" w:eastAsia="仿宋_GB2312" w:cs="仿宋_GB2312"/>
          <w:sz w:val="32"/>
          <w:szCs w:val="32"/>
          <w:lang w:eastAsia="zh-CN"/>
        </w:rPr>
        <w:t>标准</w:t>
      </w:r>
      <w:r>
        <w:rPr>
          <w:rFonts w:hint="eastAsia" w:ascii="仿宋_GB2312" w:hAnsi="仿宋_GB2312" w:eastAsia="仿宋_GB2312" w:cs="仿宋_GB2312"/>
          <w:sz w:val="32"/>
          <w:szCs w:val="32"/>
          <w:lang w:val="en-US" w:eastAsia="zh-CN"/>
        </w:rPr>
        <w:t>，在经济、社会、生态等方面取得很好的效益。总分</w:t>
      </w:r>
      <w:r>
        <w:rPr>
          <w:rFonts w:hint="eastAsia" w:ascii="Times New Roman" w:hAnsi="Times New Roman" w:eastAsia="仿宋_GB2312" w:cs="Times New Roman"/>
          <w:sz w:val="32"/>
          <w:szCs w:val="32"/>
          <w:lang w:val="en-US" w:eastAsia="zh-CN"/>
        </w:rPr>
        <w:t>30分，得分30</w:t>
      </w:r>
      <w:r>
        <w:rPr>
          <w:rFonts w:hint="eastAsia" w:ascii="仿宋_GB2312" w:hAnsi="仿宋_GB2312" w:eastAsia="仿宋_GB2312" w:cs="仿宋_GB2312"/>
          <w:sz w:val="32"/>
          <w:szCs w:val="32"/>
          <w:lang w:val="en-US" w:eastAsia="zh-CN"/>
        </w:rPr>
        <w:t>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w:t>
      </w:r>
      <w:r>
        <w:rPr>
          <w:rFonts w:hint="eastAsia" w:ascii="仿宋_GB2312" w:hAnsi="仿宋_GB2312" w:eastAsia="仿宋_GB2312" w:cs="仿宋_GB2312"/>
          <w:sz w:val="32"/>
          <w:szCs w:val="32"/>
        </w:rPr>
        <w:t>征地区片综合地价更新调整及贺州市中心城区项目建设征地拆迁补偿标准更新调整</w:t>
      </w:r>
      <w:r>
        <w:rPr>
          <w:rFonts w:hint="eastAsia" w:ascii="仿宋_GB2312" w:hAnsi="仿宋_GB2312" w:eastAsia="仿宋_GB2312" w:cs="仿宋_GB2312"/>
          <w:sz w:val="32"/>
          <w:szCs w:val="32"/>
          <w:lang w:val="en-US" w:eastAsia="zh-CN"/>
        </w:rPr>
        <w:t>，实施各县（区）新一轮</w:t>
      </w:r>
      <w:r>
        <w:rPr>
          <w:rFonts w:hint="eastAsia" w:ascii="仿宋_GB2312" w:hAnsi="仿宋_GB2312" w:eastAsia="仿宋_GB2312" w:cs="仿宋_GB2312"/>
          <w:sz w:val="32"/>
          <w:szCs w:val="32"/>
        </w:rPr>
        <w:t>征地区片综合地价</w:t>
      </w:r>
      <w:r>
        <w:rPr>
          <w:rFonts w:hint="eastAsia" w:ascii="仿宋_GB2312" w:hAnsi="仿宋_GB2312" w:eastAsia="仿宋_GB2312" w:cs="仿宋_GB2312"/>
          <w:sz w:val="32"/>
          <w:szCs w:val="32"/>
          <w:lang w:eastAsia="zh-CN"/>
        </w:rPr>
        <w:t>标准</w:t>
      </w:r>
      <w:r>
        <w:rPr>
          <w:rFonts w:hint="eastAsia" w:ascii="仿宋_GB2312" w:hAnsi="仿宋_GB2312" w:eastAsia="仿宋_GB2312" w:cs="仿宋_GB2312"/>
          <w:sz w:val="32"/>
          <w:szCs w:val="32"/>
          <w:lang w:val="en-US" w:eastAsia="zh-CN"/>
        </w:rPr>
        <w:t>，保障被征地农民和付出权益，维护社会和谐稳定。总分</w:t>
      </w:r>
      <w:r>
        <w:rPr>
          <w:rFonts w:hint="eastAsia" w:ascii="Times New Roman" w:hAnsi="Times New Roman" w:eastAsia="仿宋_GB2312" w:cs="Times New Roman"/>
          <w:sz w:val="32"/>
          <w:szCs w:val="32"/>
          <w:lang w:val="en-US" w:eastAsia="zh-CN"/>
        </w:rPr>
        <w:t>30分，得分30</w:t>
      </w:r>
      <w:r>
        <w:rPr>
          <w:rFonts w:hint="eastAsia" w:ascii="仿宋_GB2312" w:hAnsi="仿宋_GB2312" w:eastAsia="仿宋_GB2312" w:cs="仿宋_GB2312"/>
          <w:sz w:val="32"/>
          <w:szCs w:val="32"/>
          <w:lang w:val="en-US" w:eastAsia="zh-CN"/>
        </w:rPr>
        <w:t>分。</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评价结果和评价结论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w:t>
      </w:r>
      <w:r>
        <w:rPr>
          <w:rFonts w:hint="default" w:ascii="Times New Roman" w:hAnsi="Times New Roman" w:eastAsia="仿宋_GB2312" w:cs="Times New Roman"/>
          <w:sz w:val="32"/>
          <w:szCs w:val="32"/>
        </w:rPr>
        <w:t>分</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rPr>
        <w:t>自评</w:t>
      </w:r>
      <w:r>
        <w:rPr>
          <w:rFonts w:hint="eastAsia" w:ascii="Times New Roman" w:hAnsi="Times New Roman" w:eastAsia="仿宋_GB2312" w:cs="Times New Roman"/>
          <w:sz w:val="32"/>
          <w:szCs w:val="32"/>
          <w:lang w:val="en-US" w:eastAsia="zh-CN"/>
        </w:rPr>
        <w:t>100</w:t>
      </w:r>
      <w:bookmarkStart w:id="0" w:name="_GoBack"/>
      <w:bookmarkEnd w:id="0"/>
      <w:r>
        <w:rPr>
          <w:rFonts w:hint="eastAsia" w:ascii="仿宋_GB2312" w:hAnsi="仿宋_GB2312" w:eastAsia="仿宋_GB2312" w:cs="仿宋_GB2312"/>
          <w:sz w:val="32"/>
          <w:szCs w:val="32"/>
          <w:lang w:val="en-US" w:eastAsia="zh-CN"/>
        </w:rPr>
        <w:t>分，项目完成</w:t>
      </w:r>
      <w:r>
        <w:rPr>
          <w:rFonts w:hint="eastAsia" w:ascii="仿宋_GB2312" w:hAnsi="仿宋_GB2312" w:eastAsia="仿宋_GB2312" w:cs="仿宋_GB2312"/>
          <w:sz w:val="32"/>
          <w:szCs w:val="32"/>
        </w:rPr>
        <w:t>总体</w:t>
      </w:r>
      <w:r>
        <w:rPr>
          <w:rFonts w:hint="eastAsia" w:ascii="仿宋_GB2312" w:hAnsi="仿宋_GB2312" w:eastAsia="仿宋_GB2312" w:cs="仿宋_GB2312"/>
          <w:sz w:val="32"/>
          <w:szCs w:val="32"/>
          <w:lang w:eastAsia="zh-CN"/>
        </w:rPr>
        <w:t>较好，达到预期目标</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29"/>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（一）领导重视，部署到位。</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sz w:val="32"/>
          <w:szCs w:val="32"/>
        </w:rPr>
        <w:t>广西壮族自治区自然资源厅办公室关于印发广西壮族自治区征地区片综合地价更新调整工作方案的通知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（桂自然资办</w:t>
      </w:r>
      <w:r>
        <w:rPr>
          <w:rFonts w:hint="default" w:ascii="Times New Roman" w:hAnsi="Times New Roman" w:eastAsia="仿宋_GB2312" w:cs="Times New Roman"/>
          <w:sz w:val="32"/>
          <w:szCs w:val="32"/>
        </w:rPr>
        <w:t>〔2022〕260号）</w:t>
      </w:r>
      <w:r>
        <w:rPr>
          <w:rFonts w:hint="default" w:ascii="Times New Roman" w:hAnsi="Times New Roman" w:eastAsia="仿宋_GB2312" w:cs="Times New Roman"/>
          <w:sz w:val="32"/>
          <w:szCs w:val="32"/>
          <w:lang w:eastAsia="zh-CN"/>
        </w:rPr>
        <w:t>印发后，局领导</w:t>
      </w:r>
      <w:r>
        <w:rPr>
          <w:rFonts w:hint="default" w:ascii="Times New Roman" w:hAnsi="Times New Roman" w:eastAsia="仿宋_GB2312" w:cs="Times New Roman"/>
          <w:sz w:val="32"/>
          <w:szCs w:val="32"/>
        </w:rPr>
        <w:t>及时向市政府汇报，并得到市领导的高度重视</w:t>
      </w:r>
      <w:r>
        <w:rPr>
          <w:rFonts w:hint="eastAsia" w:ascii="Times New Roman" w:hAnsi="Times New Roman" w:eastAsia="仿宋_GB2312" w:cs="Times New Roman"/>
          <w:sz w:val="32"/>
          <w:szCs w:val="32"/>
          <w:lang w:eastAsia="zh-CN"/>
        </w:rPr>
        <w:t>，及时落实了工作经费</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29"/>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（二）落实人员，经费到位。</w:t>
      </w:r>
      <w:r>
        <w:rPr>
          <w:rFonts w:hint="default" w:ascii="Times New Roman" w:hAnsi="Times New Roman" w:eastAsia="仿宋_GB2312" w:cs="Times New Roman"/>
          <w:sz w:val="32"/>
          <w:szCs w:val="32"/>
        </w:rPr>
        <w:t>按照根据</w:t>
      </w:r>
      <w:r>
        <w:rPr>
          <w:rFonts w:hint="eastAsia" w:ascii="仿宋_GB2312" w:hAnsi="仿宋_GB2312" w:eastAsia="仿宋_GB2312" w:cs="仿宋_GB2312"/>
          <w:sz w:val="32"/>
          <w:szCs w:val="32"/>
        </w:rPr>
        <w:t>桂自然资办</w:t>
      </w:r>
      <w:r>
        <w:rPr>
          <w:rFonts w:hint="default" w:ascii="Times New Roman" w:hAnsi="Times New Roman" w:eastAsia="仿宋_GB2312" w:cs="Times New Roman"/>
          <w:sz w:val="32"/>
          <w:szCs w:val="32"/>
        </w:rPr>
        <w:t>〔2022〕260号</w:t>
      </w:r>
      <w:r>
        <w:rPr>
          <w:rFonts w:hint="eastAsia" w:ascii="Times New Roman" w:hAnsi="Times New Roman" w:eastAsia="仿宋_GB2312" w:cs="Times New Roman"/>
          <w:sz w:val="32"/>
          <w:szCs w:val="32"/>
          <w:lang w:eastAsia="zh-CN"/>
        </w:rPr>
        <w:t>文</w:t>
      </w:r>
      <w:r>
        <w:rPr>
          <w:rFonts w:hint="default" w:ascii="Times New Roman" w:hAnsi="Times New Roman" w:eastAsia="仿宋_GB2312" w:cs="Times New Roman"/>
          <w:sz w:val="32"/>
          <w:szCs w:val="32"/>
        </w:rPr>
        <w:t>要求，我市市、县两级国土资源部门立即组织委托技术单位</w:t>
      </w:r>
      <w:r>
        <w:rPr>
          <w:rFonts w:hint="default" w:ascii="Times New Roman" w:hAnsi="Times New Roman" w:eastAsia="仿宋_GB2312" w:cs="Times New Roman"/>
          <w:sz w:val="32"/>
          <w:szCs w:val="32"/>
          <w:lang w:eastAsia="zh-CN"/>
        </w:rPr>
        <w:t>开展了</w:t>
      </w:r>
      <w:r>
        <w:rPr>
          <w:rFonts w:hint="eastAsia" w:ascii="仿宋_GB2312" w:hAnsi="仿宋_GB2312" w:eastAsia="仿宋_GB2312" w:cs="仿宋_GB2312"/>
          <w:sz w:val="32"/>
          <w:szCs w:val="32"/>
          <w:lang w:val="en-US" w:eastAsia="zh-CN"/>
        </w:rPr>
        <w:t>新一轮</w:t>
      </w:r>
      <w:r>
        <w:rPr>
          <w:rFonts w:hint="eastAsia" w:ascii="仿宋_GB2312" w:hAnsi="仿宋_GB2312" w:eastAsia="仿宋_GB2312" w:cs="仿宋_GB2312"/>
          <w:sz w:val="32"/>
          <w:szCs w:val="32"/>
        </w:rPr>
        <w:t>征地区片综合地价</w:t>
      </w:r>
      <w:r>
        <w:rPr>
          <w:rFonts w:hint="eastAsia" w:ascii="仿宋_GB2312" w:hAnsi="仿宋_GB2312" w:eastAsia="仿宋_GB2312" w:cs="仿宋_GB2312"/>
          <w:sz w:val="32"/>
          <w:szCs w:val="32"/>
          <w:lang w:eastAsia="zh-CN"/>
        </w:rPr>
        <w:t>标准</w:t>
      </w:r>
      <w:r>
        <w:rPr>
          <w:rFonts w:hint="default" w:ascii="Times New Roman" w:hAnsi="Times New Roman" w:eastAsia="仿宋_GB2312" w:cs="Times New Roman"/>
          <w:sz w:val="32"/>
          <w:szCs w:val="32"/>
        </w:rPr>
        <w:t>工作，并明确专人负责</w:t>
      </w:r>
      <w:r>
        <w:rPr>
          <w:rFonts w:hint="eastAsia" w:ascii="仿宋_GB2312" w:hAnsi="仿宋_GB2312" w:eastAsia="仿宋_GB2312" w:cs="仿宋_GB2312"/>
          <w:sz w:val="32"/>
          <w:szCs w:val="32"/>
          <w:lang w:val="en-US" w:eastAsia="zh-CN"/>
        </w:rPr>
        <w:t>新一轮</w:t>
      </w:r>
      <w:r>
        <w:rPr>
          <w:rFonts w:hint="eastAsia" w:ascii="仿宋_GB2312" w:hAnsi="仿宋_GB2312" w:eastAsia="仿宋_GB2312" w:cs="仿宋_GB2312"/>
          <w:sz w:val="32"/>
          <w:szCs w:val="32"/>
        </w:rPr>
        <w:t>征地区片综合地价</w:t>
      </w:r>
      <w:r>
        <w:rPr>
          <w:rFonts w:hint="eastAsia" w:ascii="仿宋_GB2312" w:hAnsi="仿宋_GB2312" w:eastAsia="仿宋_GB2312" w:cs="仿宋_GB2312"/>
          <w:sz w:val="32"/>
          <w:szCs w:val="32"/>
          <w:lang w:eastAsia="zh-CN"/>
        </w:rPr>
        <w:t>标准</w:t>
      </w:r>
      <w:r>
        <w:rPr>
          <w:rFonts w:hint="default" w:ascii="Times New Roman" w:hAnsi="Times New Roman" w:eastAsia="仿宋_GB2312" w:cs="Times New Roman"/>
          <w:sz w:val="32"/>
          <w:szCs w:val="32"/>
        </w:rPr>
        <w:t>工作和落实工作经费，切实保障该项工作的顺利推进。</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华文楷体">
    <w:altName w:val="宋体"/>
    <w:panose1 w:val="02010600040101010101"/>
    <w:charset w:val="86"/>
    <w:family w:val="auto"/>
    <w:pitch w:val="default"/>
    <w:sig w:usb0="00000000" w:usb1="00000000" w:usb2="00000010" w:usb3="00000000" w:csb0="0004009F" w:csb1="00000000"/>
  </w:font>
  <w:font w:name="华文楷体">
    <w:altName w:val="宋体"/>
    <w:panose1 w:val="00000000000000000000"/>
    <w:charset w:val="00"/>
    <w:family w:val="auto"/>
    <w:pitch w:val="default"/>
    <w:sig w:usb0="00000000" w:usb1="00000000" w:usb2="00000000" w:usb3="00000000" w:csb0="00000000" w:csb1="00000000"/>
  </w:font>
  <w:font w:name="BatangChe">
    <w:panose1 w:val="02030609000101010101"/>
    <w:charset w:val="81"/>
    <w:family w:val="auto"/>
    <w:pitch w:val="default"/>
    <w:sig w:usb0="B00002AF" w:usb1="69D77CFB" w:usb2="00000030" w:usb3="00000000" w:csb0="4008009F" w:csb1="DFD70000"/>
  </w:font>
  <w:font w:name="ＤＦ明朝体W5">
    <w:altName w:val="MS UI Gothic"/>
    <w:panose1 w:val="02010609010101010101"/>
    <w:charset w:val="80"/>
    <w:family w:val="auto"/>
    <w:pitch w:val="default"/>
    <w:sig w:usb0="00000000" w:usb1="00000000" w:usb2="00000010" w:usb3="00000000" w:csb0="00020001" w:csb1="00000000"/>
  </w:font>
  <w:font w:name="ＤＦ中太楷書体">
    <w:altName w:val="宋体"/>
    <w:panose1 w:val="02010609010101010101"/>
    <w:charset w:val="80"/>
    <w:family w:val="auto"/>
    <w:pitch w:val="default"/>
    <w:sig w:usb0="00000000" w:usb1="00000000" w:usb2="00000010" w:usb3="00000000" w:csb0="00020000" w:csb1="00000000"/>
  </w:font>
  <w:font w:name="Calibri Light">
    <w:altName w:val="Calibri"/>
    <w:panose1 w:val="020F0302020204030204"/>
    <w:charset w:val="00"/>
    <w:family w:val="auto"/>
    <w:pitch w:val="default"/>
    <w:sig w:usb0="00000000" w:usb1="00000000" w:usb2="00000000" w:usb3="00000000" w:csb0="2000019F" w:csb1="00000000"/>
  </w:font>
  <w:font w:name="Batang">
    <w:panose1 w:val="02030600000101010101"/>
    <w:charset w:val="81"/>
    <w:family w:val="auto"/>
    <w:pitch w:val="default"/>
    <w:sig w:usb0="B00002AF" w:usb1="69D77CFB" w:usb2="00000030" w:usb3="00000000" w:csb0="4008009F" w:csb1="DFD70000"/>
  </w:font>
  <w:font w:name="anticon">
    <w:altName w:val="Segoe Print"/>
    <w:panose1 w:val="00000000000000000000"/>
    <w:charset w:val="00"/>
    <w:family w:val="auto"/>
    <w:pitch w:val="default"/>
    <w:sig w:usb0="00000000" w:usb1="00000000" w:usb2="00000000" w:usb3="00000000" w:csb0="00000000" w:csb1="00000000"/>
  </w:font>
  <w:font w:name="menu">
    <w:altName w:val="Segoe Print"/>
    <w:panose1 w:val="00000000000000000000"/>
    <w:charset w:val="00"/>
    <w:family w:val="auto"/>
    <w:pitch w:val="default"/>
    <w:sig w:usb0="00000000" w:usb1="00000000" w:usb2="00000000" w:usb3="00000000" w:csb0="00000000" w:csb1="00000000"/>
  </w:font>
  <w:font w:name="icon-workflow">
    <w:altName w:val="Segoe Print"/>
    <w:panose1 w:val="00000000000000000000"/>
    <w:charset w:val="00"/>
    <w:family w:val="auto"/>
    <w:pitch w:val="default"/>
    <w:sig w:usb0="00000000" w:usb1="00000000" w:usb2="00000000" w:usb3="00000000" w:csb0="00000000" w:csb1="00000000"/>
  </w:font>
  <w:font w:name="icon-coms">
    <w:altName w:val="Segoe Print"/>
    <w:panose1 w:val="00000000000000000000"/>
    <w:charset w:val="00"/>
    <w:family w:val="auto"/>
    <w:pitch w:val="default"/>
    <w:sig w:usb0="00000000" w:usb1="00000000" w:usb2="00000000" w:usb3="00000000" w:csb0="00000000" w:csb1="00000000"/>
  </w:font>
  <w:font w:name="icon-report">
    <w:altName w:val="Segoe Print"/>
    <w:panose1 w:val="00000000000000000000"/>
    <w:charset w:val="00"/>
    <w:family w:val="auto"/>
    <w:pitch w:val="default"/>
    <w:sig w:usb0="00000000" w:usb1="00000000" w:usb2="00000000" w:usb3="00000000" w:csb0="00000000" w:csb1="00000000"/>
  </w:font>
  <w:font w:name="icon-portal">
    <w:altName w:val="Segoe Print"/>
    <w:panose1 w:val="00000000000000000000"/>
    <w:charset w:val="00"/>
    <w:family w:val="auto"/>
    <w:pitch w:val="default"/>
    <w:sig w:usb0="00000000" w:usb1="00000000" w:usb2="00000000" w:usb3="00000000" w:csb0="00000000" w:csb1="00000000"/>
  </w:font>
  <w:font w:name="icon-coms02">
    <w:altName w:val="Segoe Print"/>
    <w:panose1 w:val="00000000000000000000"/>
    <w:charset w:val="00"/>
    <w:family w:val="auto"/>
    <w:pitch w:val="default"/>
    <w:sig w:usb0="00000000" w:usb1="00000000" w:usb2="00000000" w:usb3="00000000" w:csb0="00000000" w:csb1="00000000"/>
  </w:font>
  <w:font w:name="icon-dev">
    <w:altName w:val="Segoe Print"/>
    <w:panose1 w:val="00000000000000000000"/>
    <w:charset w:val="00"/>
    <w:family w:val="auto"/>
    <w:pitch w:val="default"/>
    <w:sig w:usb0="00000000" w:usb1="00000000" w:usb2="00000000" w:usb3="00000000" w:csb0="00000000" w:csb1="00000000"/>
  </w:font>
  <w:font w:name="wevicon">
    <w:altName w:val="Segoe Print"/>
    <w:panose1 w:val="00000000000000000000"/>
    <w:charset w:val="00"/>
    <w:family w:val="auto"/>
    <w:pitch w:val="default"/>
    <w:sig w:usb0="00000000" w:usb1="00000000" w:usb2="00000000" w:usb3="00000000" w:csb0="00000000" w:csb1="00000000"/>
  </w:font>
  <w:font w:name="icon-cooperation">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RomanS">
    <w:altName w:val="Letter Gothic"/>
    <w:panose1 w:val="02000400000000000000"/>
    <w:charset w:val="00"/>
    <w:family w:val="auto"/>
    <w:pitch w:val="default"/>
    <w:sig w:usb0="00000000" w:usb1="00000000" w:usb2="00000000" w:usb3="00000000" w:csb0="000001FF" w:csb1="00000000"/>
  </w:font>
  <w:font w:name="Arial">
    <w:panose1 w:val="020B0604020202020204"/>
    <w:charset w:val="86"/>
    <w:family w:val="swiss"/>
    <w:pitch w:val="default"/>
    <w:sig w:usb0="E0002AFF" w:usb1="C0007843" w:usb2="00000009" w:usb3="00000000" w:csb0="400001FF" w:csb1="FFFF0000"/>
  </w:font>
  <w:font w:name="方正小标宋_GBK-WinCharSetFFFF-H">
    <w:altName w:val="宋体"/>
    <w:panose1 w:val="00000000000000000000"/>
    <w:charset w:val="86"/>
    <w:family w:val="auto"/>
    <w:pitch w:val="default"/>
    <w:sig w:usb0="00000000" w:usb1="00000000" w:usb2="00000000" w:usb3="00000000" w:csb0="00040000" w:csb1="00000000"/>
  </w:font>
  <w:font w:name="仿宋_GB2312-WinCharSetFFFF-H">
    <w:altName w:val="仿宋"/>
    <w:panose1 w:val="00000000000000000000"/>
    <w:charset w:val="86"/>
    <w:family w:val="auto"/>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_GBK">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_GBK">
    <w:altName w:val="微软雅黑"/>
    <w:panose1 w:val="03000509000000000000"/>
    <w:charset w:val="86"/>
    <w:family w:val="script"/>
    <w:pitch w:val="default"/>
    <w:sig w:usb0="00000000" w:usb1="00000000" w:usb2="00000010" w:usb3="00000000" w:csb0="00040000" w:csb1="00000000"/>
  </w:font>
  <w:font w:name="MS UI Gothic">
    <w:panose1 w:val="020B0600070205080204"/>
    <w:charset w:val="80"/>
    <w:family w:val="auto"/>
    <w:pitch w:val="default"/>
    <w:sig w:usb0="E00002FF" w:usb1="6AC7FDFB" w:usb2="00000012" w:usb3="00000000" w:csb0="4002009F" w:csb1="DFD70000"/>
  </w:font>
  <w:font w:name="方正姚体">
    <w:altName w:val="宋体"/>
    <w:panose1 w:val="02010601030101010101"/>
    <w:charset w:val="86"/>
    <w:family w:val="auto"/>
    <w:pitch w:val="default"/>
    <w:sig w:usb0="00000000" w:usb1="00000000" w:usb2="00000000" w:usb3="00000000" w:csb0="00040000" w:csb1="00000000"/>
  </w:font>
  <w:font w:name="华文行楷">
    <w:altName w:val="微软雅黑"/>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幼圆">
    <w:altName w:val="宋体"/>
    <w:panose1 w:val="0201050906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方正舒体">
    <w:altName w:val="宋体"/>
    <w:panose1 w:val="02010601030101010101"/>
    <w:charset w:val="86"/>
    <w:family w:val="auto"/>
    <w:pitch w:val="default"/>
    <w:sig w:usb0="00000000" w:usb1="00000000" w:usb2="00000000" w:usb3="00000000" w:csb0="00040000" w:csb1="00000000"/>
  </w:font>
  <w:font w:name="隶书">
    <w:altName w:val="微软雅黑"/>
    <w:panose1 w:val="02010509060101010101"/>
    <w:charset w:val="86"/>
    <w:family w:val="auto"/>
    <w:pitch w:val="default"/>
    <w:sig w:usb0="00000000" w:usb1="00000000" w:usb2="00000000"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Letter Gothic">
    <w:panose1 w:val="020B0409020202030204"/>
    <w:charset w:val="00"/>
    <w:family w:val="auto"/>
    <w:pitch w:val="default"/>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054367"/>
    <w:multiLevelType w:val="singleLevel"/>
    <w:tmpl w:val="64054367"/>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91040"/>
    <w:rsid w:val="09AC3A9C"/>
    <w:rsid w:val="09C21CCC"/>
    <w:rsid w:val="14D421C7"/>
    <w:rsid w:val="15485378"/>
    <w:rsid w:val="16DA23B2"/>
    <w:rsid w:val="16F11180"/>
    <w:rsid w:val="18AF055F"/>
    <w:rsid w:val="1D024DFC"/>
    <w:rsid w:val="203F6352"/>
    <w:rsid w:val="2424631C"/>
    <w:rsid w:val="28DD7535"/>
    <w:rsid w:val="28FB5063"/>
    <w:rsid w:val="2A556889"/>
    <w:rsid w:val="2B1227DD"/>
    <w:rsid w:val="2D2C7B74"/>
    <w:rsid w:val="2D8D7C9C"/>
    <w:rsid w:val="2DC64C6A"/>
    <w:rsid w:val="2EBC29C4"/>
    <w:rsid w:val="3160792A"/>
    <w:rsid w:val="31AE347F"/>
    <w:rsid w:val="32CD165C"/>
    <w:rsid w:val="34416B1F"/>
    <w:rsid w:val="3CAF6468"/>
    <w:rsid w:val="3D2F0EAB"/>
    <w:rsid w:val="3E4C4CEE"/>
    <w:rsid w:val="41C104B8"/>
    <w:rsid w:val="42D75E91"/>
    <w:rsid w:val="47DB3B3C"/>
    <w:rsid w:val="47F325AA"/>
    <w:rsid w:val="4D3E2113"/>
    <w:rsid w:val="4ECD0705"/>
    <w:rsid w:val="509F7A23"/>
    <w:rsid w:val="52786F2C"/>
    <w:rsid w:val="55AA5474"/>
    <w:rsid w:val="5B4B361E"/>
    <w:rsid w:val="6703068A"/>
    <w:rsid w:val="732D67CF"/>
    <w:rsid w:val="759077BF"/>
    <w:rsid w:val="775B229A"/>
    <w:rsid w:val="77ED2462"/>
    <w:rsid w:val="7FD23502"/>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NormalCharacter"/>
    <w:link w:val="8"/>
    <w:qFormat/>
    <w:uiPriority w:val="0"/>
    <w:rPr>
      <w:rFonts w:ascii="Verdana" w:hAnsi="Verdana"/>
      <w:kern w:val="0"/>
      <w:sz w:val="20"/>
      <w:lang w:eastAsia="en-US"/>
    </w:rPr>
  </w:style>
  <w:style w:type="paragraph" w:customStyle="1" w:styleId="8">
    <w:name w:val="UserStyle_1"/>
    <w:basedOn w:val="1"/>
    <w:link w:val="7"/>
    <w:qFormat/>
    <w:uiPriority w:val="0"/>
    <w:pPr>
      <w:widowControl/>
      <w:spacing w:after="160" w:line="240" w:lineRule="exact"/>
      <w:jc w:val="left"/>
      <w:textAlignment w:val="baseline"/>
    </w:pPr>
    <w:rPr>
      <w:rFonts w:ascii="Verdana" w:hAnsi="Verdana"/>
      <w:kern w:val="0"/>
      <w:sz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2023-03-15T00:39:03Z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