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贺州市土地利用总体规划修改工作编制采购项目支出绩效自评报告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项目名称：贺州市土地利用总体规划修改工作编制采购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val="en-US"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val="en-US"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w:t>
      </w:r>
      <w:r>
        <w:rPr>
          <w:rFonts w:ascii="Arial" w:hAnsi="Arial" w:cs="Arial"/>
          <w:sz w:val="30"/>
          <w:szCs w:val="30"/>
        </w:rPr>
        <w:t>√</w:t>
      </w:r>
      <w:r>
        <w:rPr>
          <w:rFonts w:hAnsi="宋体"/>
          <w:sz w:val="30"/>
          <w:szCs w:val="30"/>
        </w:rPr>
        <w:t xml:space="preserve"> </w:t>
      </w:r>
      <w:r>
        <w:rPr>
          <w:rFonts w:hint="eastAsia" w:ascii="宋体" w:hAnsi="宋体" w:eastAsia="宋体" w:cs="宋体"/>
          <w:sz w:val="30"/>
          <w:szCs w:val="30"/>
        </w:rPr>
        <w:t xml:space="preserve">    事后评价</w:t>
      </w:r>
      <w:bookmarkStart w:id="0" w:name="CheckBox1"/>
      <w:r>
        <w:rPr>
          <w:rFonts w:hint="eastAsia" w:ascii="宋体" w:hAnsi="宋体" w:eastAsia="宋体" w:cs="宋体"/>
          <w:kern w:val="2"/>
          <w:sz w:val="30"/>
          <w:szCs w:val="30"/>
          <w:lang w:val="en-US" w:eastAsia="zh-CN" w:bidi="ar-SA"/>
        </w:rPr>
        <w:fldChar w:fldCharType="begin">
          <w:ffData>
            <w:name w:val="CheckBox1"/>
            <w:enabled/>
            <w:calcOnExit w:val="0"/>
            <w:checkBox>
              <w:sizeAuto/>
              <w:default w:val="0"/>
              <w:checked w:val="0"/>
            </w:checkBox>
          </w:ffData>
        </w:fldChar>
      </w:r>
      <w:r>
        <w:rPr>
          <w:rFonts w:hint="eastAsia" w:ascii="宋体" w:hAnsi="宋体" w:eastAsia="宋体" w:cs="宋体"/>
          <w:kern w:val="2"/>
          <w:sz w:val="30"/>
          <w:szCs w:val="30"/>
          <w:lang w:val="en-US" w:eastAsia="zh-CN" w:bidi="ar-SA"/>
        </w:rPr>
        <w:instrText xml:space="preserve">FORMCHECKBOX</w:instrText>
      </w:r>
      <w:r>
        <w:rPr>
          <w:rFonts w:hint="eastAsia" w:ascii="宋体" w:hAnsi="宋体" w:eastAsia="宋体" w:cs="宋体"/>
          <w:kern w:val="2"/>
          <w:sz w:val="30"/>
          <w:szCs w:val="30"/>
          <w:lang w:val="en-US" w:eastAsia="zh-CN" w:bidi="ar-SA"/>
        </w:rPr>
        <w:fldChar w:fldCharType="separate"/>
      </w:r>
      <w:r>
        <w:rPr>
          <w:rFonts w:hint="eastAsia" w:ascii="宋体" w:hAnsi="宋体" w:eastAsia="宋体" w:cs="宋体"/>
          <w:kern w:val="2"/>
          <w:sz w:val="30"/>
          <w:szCs w:val="30"/>
          <w:lang w:val="en-US" w:eastAsia="zh-CN" w:bidi="ar-SA"/>
        </w:rPr>
        <w:fldChar w:fldCharType="end"/>
      </w:r>
      <w:bookmarkEnd w:id="0"/>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ascii="Arial" w:hAnsi="Arial" w:cs="Arial"/>
          <w:sz w:val="30"/>
          <w:szCs w:val="30"/>
        </w:rPr>
        <w:t>√</w:t>
      </w:r>
      <w:r>
        <w:rPr>
          <w:rFonts w:hAnsi="宋体"/>
          <w:sz w:val="30"/>
          <w:szCs w:val="30"/>
        </w:rPr>
        <w:t xml:space="preserve"> </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spacing w:line="560" w:lineRule="exact"/>
        <w:ind w:firstLine="2250" w:firstLineChars="750"/>
        <w:rPr>
          <w:rFonts w:ascii="仿宋_GB2312" w:hAnsi="仿宋_GB2312" w:eastAsia="仿宋_GB2312" w:cs="Times New Roman"/>
          <w:sz w:val="32"/>
          <w:szCs w:val="32"/>
        </w:rPr>
      </w:pPr>
      <w:r>
        <w:rPr>
          <w:rFonts w:hint="eastAsia" w:hAnsi="宋体"/>
          <w:sz w:val="30"/>
          <w:szCs w:val="30"/>
        </w:rPr>
        <w:t>贺州市自然资源局</w:t>
      </w:r>
    </w:p>
    <w:p>
      <w:pPr>
        <w:pStyle w:val="2"/>
        <w:spacing w:line="560" w:lineRule="exact"/>
        <w:ind w:firstLine="2100" w:firstLineChars="700"/>
        <w:rPr>
          <w:rFonts w:ascii="仿宋_GB2312" w:hAnsi="仿宋_GB2312" w:eastAsia="仿宋_GB2312" w:cs="Times New Roman"/>
          <w:sz w:val="32"/>
          <w:szCs w:val="32"/>
        </w:rPr>
      </w:pPr>
      <w:r>
        <w:rPr>
          <w:rFonts w:hAnsi="宋体"/>
          <w:sz w:val="30"/>
          <w:szCs w:val="30"/>
        </w:rPr>
        <w:t xml:space="preserve"> </w:t>
      </w:r>
      <w:r>
        <w:rPr>
          <w:rFonts w:hAnsi="宋体"/>
          <w:sz w:val="32"/>
          <w:szCs w:val="32"/>
        </w:rPr>
        <w:t>2021</w:t>
      </w:r>
      <w:r>
        <w:rPr>
          <w:rFonts w:hint="eastAsia" w:hAnsi="宋体"/>
          <w:sz w:val="32"/>
          <w:szCs w:val="32"/>
        </w:rPr>
        <w:t>年</w:t>
      </w:r>
      <w:r>
        <w:rPr>
          <w:rFonts w:hAnsi="宋体"/>
          <w:sz w:val="32"/>
          <w:szCs w:val="32"/>
        </w:rPr>
        <w:t>3</w:t>
      </w:r>
      <w:r>
        <w:rPr>
          <w:rFonts w:hint="eastAsia" w:hAnsi="宋体"/>
          <w:sz w:val="32"/>
          <w:szCs w:val="32"/>
        </w:rPr>
        <w:t>月</w:t>
      </w:r>
      <w:r>
        <w:rPr>
          <w:rFonts w:hAnsi="宋体"/>
          <w:sz w:val="32"/>
          <w:szCs w:val="32"/>
        </w:rPr>
        <w:t>1</w:t>
      </w:r>
      <w:r>
        <w:rPr>
          <w:rFonts w:hint="eastAsia" w:hAnsi="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贺州市土地利用总体规划修改工作编制采购</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黄鸿健</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5685456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w:t>
            </w:r>
            <w:r>
              <w:rPr>
                <w:rFonts w:ascii="Arial" w:hAnsi="Arial" w:cs="Arial"/>
                <w:sz w:val="30"/>
                <w:szCs w:val="30"/>
              </w:rPr>
              <w:t>√</w:t>
            </w:r>
            <w:r>
              <w:rPr>
                <w:rFonts w:hint="eastAsia" w:ascii="宋体" w:hAnsi="宋体" w:eastAsia="宋体" w:cs="宋体"/>
                <w:sz w:val="18"/>
                <w:szCs w:val="18"/>
                <w:lang w:val="en-US" w:eastAsia="zh-CN"/>
              </w:rPr>
              <w:t xml:space="preserve">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2019年1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2020年12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    个；  其中：市本级  1      个，县（区）   0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60" w:firstLineChars="200"/>
              <w:jc w:val="both"/>
              <w:textAlignment w:val="auto"/>
              <w:outlineLvl w:val="9"/>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广西壮族自治区自然资源厅关于严格规范土地利用总体规划修改的通知》（桂自然资发〔2018〕5号）</w:t>
            </w:r>
          </w:p>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31.25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50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31.25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673.2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101</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项目合同</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贺州市土地利用总体规划修改工作编制采购（2021）</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项目合同</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贺州市土地利用总体规划修改工作编制采购（2022）</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项目合同</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val="en-US"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财务与资金运用科科长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val="en-US" w:eastAsia="zh-CN"/>
              </w:rPr>
              <w:t>黄鸿健</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国土空间用途管制科负责人</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val="en-US" w:eastAsia="zh-CN"/>
              </w:rPr>
              <w:t>李英美</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国土空间用途管制科工作人员</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rPr>
        <w:t>根据《广西壮族自治区自然资源厅关于严格规范土地利用总体规划修改的通知》（桂自然资发〔2018〕5号）的要求，规划修改调整工作所需经费由涉及市、县级人民政府年度财政预算予以保障。市本级范围内的项目，由我局统筹进行土地利用总体规划的修改（调整）工作。</w:t>
      </w:r>
      <w:r>
        <w:rPr>
          <w:rFonts w:hint="eastAsia" w:ascii="仿宋_GB2312" w:hAnsi="仿宋_GB2312" w:eastAsia="仿宋_GB2312" w:cs="仿宋_GB2312"/>
          <w:b w:val="0"/>
          <w:bCs w:val="0"/>
          <w:sz w:val="32"/>
          <w:szCs w:val="32"/>
          <w:lang w:val="en-US" w:eastAsia="zh-CN"/>
        </w:rPr>
        <w:t>对于急需开工，但不符合贺州市土地利用总体规划的项目，由八步区、平桂区审核后，提交市自然资源局审议，由市自然资源局统一委托技术服务单位进行规划修改(调整）工作。经公开招投标，贺州市国土资源勘查测绘院以673.2万元中标，资金主要用于支付中标单位的技术服务费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项目中标费用为673.2万元，2021年支付51万元，2022年支付50万元。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贺州市国土资源勘查测绘院根据市自然资源局的要求，按时完成相关项目的贺州市土地利用总体规划修改（调整）工作，已按计划全部完成。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（一）项目产出完成情况分析。（满分60分，得60分）</w:t>
      </w:r>
    </w:p>
    <w:p>
      <w:pPr>
        <w:pStyle w:val="2"/>
        <w:numPr>
          <w:ilvl w:val="0"/>
          <w:numId w:val="0"/>
        </w:numPr>
        <w:spacing w:line="560" w:lineRule="exact"/>
        <w:ind w:firstLine="640" w:firstLineChars="200"/>
        <w:rPr>
          <w:rFonts w:ascii="仿宋_GB2312" w:hAnsi="仿宋_GB2312" w:eastAsia="仿宋_GB2312" w:cs="Times New Roman"/>
          <w:color w:val="000000"/>
          <w:sz w:val="32"/>
          <w:szCs w:val="32"/>
        </w:rPr>
      </w:pPr>
      <w:r>
        <w:rPr>
          <w:rFonts w:hint="eastAsia" w:ascii="仿宋_GB2312" w:hAnsi="仿宋_GB2312" w:eastAsia="仿宋_GB2312" w:cs="仿宋_GB2312"/>
          <w:b w:val="0"/>
          <w:bCs w:val="0"/>
          <w:sz w:val="32"/>
          <w:szCs w:val="32"/>
          <w:lang w:val="en-US" w:eastAsia="zh-CN"/>
        </w:rPr>
        <w:t>贺州市国土资源勘查测绘院已于2020年12月按时完成了33个需修改(调整）土地利用总体规划的工作，并获得批复</w:t>
      </w:r>
      <w:r>
        <w:rPr>
          <w:rFonts w:hint="eastAsia" w:ascii="仿宋_GB2312" w:hAnsi="仿宋_GB2312" w:eastAsia="仿宋_GB2312" w:cs="仿宋_GB2312"/>
          <w:color w:val="000000"/>
          <w:sz w:val="32"/>
          <w:szCs w:val="32"/>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规划修改（调整）的完成，可为项目的落地提供用地保障，为土地出让提供基础支撑，项目开工建设后，可以为当地提供就业岗位，加快地方经济发展。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kern w:val="2"/>
          <w:sz w:val="32"/>
          <w:szCs w:val="32"/>
          <w:lang w:val="en"/>
        </w:rPr>
      </w:pPr>
      <w:r>
        <w:rPr>
          <w:rFonts w:hint="eastAsia" w:ascii="楷体_GB2312" w:hAnsi="楷体_GB2312" w:eastAsia="楷体_GB2312" w:cs="楷体_GB2312"/>
          <w:b/>
          <w:bCs/>
          <w:sz w:val="32"/>
          <w:szCs w:val="32"/>
          <w:lang w:val="en-US" w:eastAsia="zh-CN"/>
        </w:rPr>
        <w:t>（三）满意度指标分析。</w:t>
      </w:r>
      <w:r>
        <w:rPr>
          <w:rFonts w:hint="eastAsia" w:ascii="仿宋_GB2312" w:hAnsi="仿宋_GB2312" w:eastAsia="仿宋_GB2312" w:cs="仿宋_GB2312"/>
          <w:kern w:val="2"/>
          <w:sz w:val="32"/>
          <w:szCs w:val="32"/>
          <w:lang w:val="en-US" w:eastAsia="zh-CN"/>
        </w:rPr>
        <w:t>双方均按合同约定完成了工作，由于财政资金拨付的原因，未能按合同支付，属于不可避免的因素，总体评价满意</w:t>
      </w:r>
      <w:r>
        <w:rPr>
          <w:rFonts w:hint="eastAsia" w:ascii="仿宋_GB2312" w:hAnsi="仿宋_GB2312" w:eastAsia="仿宋_GB2312" w:cs="仿宋_GB2312"/>
          <w:kern w:val="2"/>
          <w:sz w:val="32"/>
          <w:szCs w:val="32"/>
          <w:lang w:val="en"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项目进度整体符合要求，项目自评总分</w:t>
      </w:r>
      <w:r>
        <w:rPr>
          <w:rFonts w:hint="eastAsia" w:ascii="仿宋_GB2312" w:hAnsi="仿宋_GB2312" w:eastAsia="仿宋_GB2312" w:cs="仿宋_GB2312"/>
          <w:sz w:val="32"/>
          <w:szCs w:val="32"/>
          <w:lang w:val="en-US" w:eastAsia="zh-CN"/>
        </w:rPr>
        <w:t>93.13</w:t>
      </w:r>
      <w:bookmarkStart w:id="1" w:name="_GoBack"/>
      <w:bookmarkEnd w:id="1"/>
      <w:r>
        <w:rPr>
          <w:rFonts w:hint="eastAsia" w:ascii="仿宋_GB2312" w:hAnsi="仿宋_GB2312" w:eastAsia="仿宋_GB2312" w:cs="仿宋_GB2312"/>
          <w:sz w:val="32"/>
          <w:szCs w:val="32"/>
        </w:rPr>
        <w:t>分，评价等级为优秀。总体项目前期较完善，管理制度健全，资金管理规范，产出及效果符合要求。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存在问题，支付进度慢，不能及时支付技术服务费用。建议及时支付费用。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isplayHorizontalDrawingGridEvery w:val="1"/>
  <w:displayVerticalDrawingGridEvery w:val="1"/>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0A640929"/>
    <w:rsid w:val="14D421C7"/>
    <w:rsid w:val="15485378"/>
    <w:rsid w:val="16F11180"/>
    <w:rsid w:val="18AF055F"/>
    <w:rsid w:val="1D024DFC"/>
    <w:rsid w:val="203F6352"/>
    <w:rsid w:val="2424631C"/>
    <w:rsid w:val="26F47237"/>
    <w:rsid w:val="28DD7535"/>
    <w:rsid w:val="290B4FA9"/>
    <w:rsid w:val="2B1227DD"/>
    <w:rsid w:val="2D2C7B74"/>
    <w:rsid w:val="2D8D7C9C"/>
    <w:rsid w:val="2DC64C6A"/>
    <w:rsid w:val="2EBC29C4"/>
    <w:rsid w:val="31AE347F"/>
    <w:rsid w:val="32CD165C"/>
    <w:rsid w:val="34416B1F"/>
    <w:rsid w:val="3D2F0EAB"/>
    <w:rsid w:val="3E4C4CEE"/>
    <w:rsid w:val="41C104B8"/>
    <w:rsid w:val="42D75E91"/>
    <w:rsid w:val="4D3E2113"/>
    <w:rsid w:val="4ECD0705"/>
    <w:rsid w:val="509F7A23"/>
    <w:rsid w:val="52786F2C"/>
    <w:rsid w:val="54E41A1C"/>
    <w:rsid w:val="5B9F5645"/>
    <w:rsid w:val="633C6267"/>
    <w:rsid w:val="6703068A"/>
    <w:rsid w:val="70B46FA6"/>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2023-03-15T02:11:58Z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