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贺州市一景地下河(盘龙洞)钟乳石洞穴旅游开发项目注销许可补偿金</w:t>
      </w: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项目支出绩效自评报告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项目名称：贺州市一景地下河(盘龙洞)钟乳石洞穴</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2100" w:firstLineChars="7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旅游开发项目注销许可补偿金</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11</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贺州市一景地下河(盘龙洞)钟乳石洞穴旅游开发项目注销许可补偿金</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郭祖清</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07745685519</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贺财预〔2022〕1号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2021年1月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2021年12月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 xml:space="preserve"> 1个；  其中：市本级1 个，县（区）0个。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中资钙业矿区范围与一景旅游开发公司一景地下河（盘龙洞）旅游开发项目较近，矿山开采对旅游项目造成影响，拟收回该项目行政许可，需要对投资人的投资进行补偿，我局委托祥浩会计师事务所有限责任公司贺州分所对该项目资产进行评估</w:t>
            </w:r>
            <w:r>
              <w:rPr>
                <w:rFonts w:hint="eastAsia" w:ascii="宋体" w:hAnsi="宋体" w:eastAsia="宋体" w:cs="宋体"/>
                <w:sz w:val="18"/>
                <w:szCs w:val="18"/>
                <w:lang w:eastAsia="zh-CN"/>
              </w:rPr>
              <w:t>，并经贺州市自然资源审查委员会2021年第11次会议审查通过。</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2883.0805</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w:t>
            </w: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2883.0805</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2883.0805</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val="en-US" w:eastAsia="zh-CN"/>
              </w:rPr>
              <w:t>2883.0805</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100</w:t>
            </w:r>
            <w:r>
              <w:rPr>
                <w:rFonts w:hint="eastAsia" w:ascii="宋体" w:hAnsi="宋体" w:eastAsia="宋体" w:cs="宋体"/>
                <w:sz w:val="18"/>
                <w:szCs w:val="18"/>
              </w:rPr>
              <w:t>%</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0</w:t>
            </w: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2883.0805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eastAsia="zh-CN"/>
              </w:rPr>
              <w:t>经贺州市自然资源审查委员会2021年第11次会议审查通过，并签订贺州市一景地下河（盘龙洞）钟乳石洞穴旅游开发项目注销许可补偿及广西贺州市钟山县望高镇水声肚铅锌锡矿勘探项目注销协议书</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r>
              <w:rPr>
                <w:rFonts w:hint="eastAsia" w:ascii="宋体" w:hAnsi="宋体" w:eastAsia="宋体" w:cs="宋体"/>
                <w:sz w:val="18"/>
                <w:szCs w:val="18"/>
              </w:rPr>
              <w:t>贺州市一景地下河(盘龙洞)钟乳石洞穴旅游开发项目注销许可补偿金</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2883.0805</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2883.0805</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p>
        </w:tc>
        <w:tc>
          <w:tcPr>
            <w:tcW w:w="2460"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right"/>
              <w:textAlignment w:val="center"/>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贺州市自然资源局</w:t>
            </w: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无需验收</w:t>
            </w: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姓名：郭祖清</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：国土空间生态修复科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姓名：龙梦霞</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：国土空间生态修复科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lang w:eastAsia="zh-CN"/>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高洋</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：国土空间生态修复科</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资钙业矿区范围与一景旅游开发公司一景地下河（盘龙洞）旅游开发项目较近，矿山开采对旅游项目造成影响，拟收回该项目行政许可，需要对投资人的投资进行补偿，我局委托祥浩会计师事务所有限责任公司贺州分所对该项目资产进行评估</w:t>
      </w:r>
      <w:r>
        <w:rPr>
          <w:rFonts w:hint="eastAsia" w:ascii="仿宋_GB2312" w:hAnsi="仿宋_GB2312" w:eastAsia="仿宋_GB2312" w:cs="仿宋_GB2312"/>
          <w:sz w:val="32"/>
          <w:szCs w:val="32"/>
          <w:lang w:eastAsia="zh-CN"/>
        </w:rPr>
        <w:t>，并经贺州市自然资源审查委员会2021年第11次会议审查通过。</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2.项目内容：贺州市一景地下河(盘龙洞)钟乳石洞穴旅游开发项目注销许可补偿</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3.资金用途及目的：支付贺州市一景地下河(盘龙洞)钟乳石洞穴旅游开发项目注销许可补偿金</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1.项目资金（包括财政资金、自筹资金等）安排落实、总投入等情况分析。</w:t>
      </w:r>
      <w:r>
        <w:rPr>
          <w:rFonts w:hint="eastAsia" w:ascii="仿宋_GB2312" w:hAnsi="仿宋_GB2312" w:eastAsia="仿宋_GB2312" w:cs="仿宋_GB2312"/>
          <w:sz w:val="32"/>
          <w:szCs w:val="32"/>
          <w:lang w:eastAsia="zh-CN"/>
        </w:rPr>
        <w:t>该项目补偿总金额为</w:t>
      </w:r>
      <w:r>
        <w:rPr>
          <w:rFonts w:hint="eastAsia" w:ascii="仿宋_GB2312" w:hAnsi="仿宋_GB2312" w:eastAsia="仿宋_GB2312" w:cs="仿宋_GB2312"/>
          <w:sz w:val="32"/>
          <w:szCs w:val="32"/>
          <w:lang w:val="en-US" w:eastAsia="zh-CN"/>
        </w:rPr>
        <w:t>3883.0805万元，2022</w:t>
      </w:r>
      <w:r>
        <w:rPr>
          <w:rFonts w:hint="eastAsia" w:ascii="仿宋_GB2312" w:hAnsi="仿宋_GB2312" w:eastAsia="仿宋_GB2312" w:cs="仿宋_GB2312"/>
          <w:sz w:val="32"/>
          <w:szCs w:val="32"/>
          <w:lang w:eastAsia="zh-CN"/>
        </w:rPr>
        <w:t>年初市本级财政预算资金</w:t>
      </w:r>
      <w:r>
        <w:rPr>
          <w:rFonts w:hint="eastAsia" w:ascii="仿宋_GB2312" w:hAnsi="仿宋_GB2312" w:eastAsia="仿宋_GB2312" w:cs="仿宋_GB2312"/>
          <w:sz w:val="32"/>
          <w:szCs w:val="32"/>
          <w:lang w:val="en-US" w:eastAsia="zh-CN"/>
        </w:rPr>
        <w:t>2883.0805万元。</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2.项目资金（主要是指财政资金）实际使用情况分析，包括预算执行率、项目预算结余或超支情况。</w:t>
      </w: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lang w:eastAsia="zh-CN"/>
        </w:rPr>
        <w:t>年初市本级财政预算资金</w:t>
      </w:r>
      <w:r>
        <w:rPr>
          <w:rFonts w:hint="eastAsia" w:ascii="仿宋_GB2312" w:hAnsi="仿宋_GB2312" w:eastAsia="仿宋_GB2312" w:cs="仿宋_GB2312"/>
          <w:sz w:val="32"/>
          <w:szCs w:val="32"/>
          <w:lang w:val="en-US" w:eastAsia="zh-CN"/>
        </w:rPr>
        <w:t>2883.0805万元，以该项目年内累计支付1883.0805万元，资金执行率为65.</w:t>
      </w:r>
      <w:bookmarkStart w:id="0" w:name="_GoBack"/>
      <w:bookmarkEnd w:id="0"/>
      <w:r>
        <w:rPr>
          <w:rFonts w:hint="eastAsia" w:ascii="仿宋_GB2312" w:hAnsi="仿宋_GB2312" w:eastAsia="仿宋_GB2312" w:cs="仿宋_GB2312"/>
          <w:sz w:val="32"/>
          <w:szCs w:val="32"/>
          <w:lang w:val="en-US" w:eastAsia="zh-CN"/>
        </w:rPr>
        <w:t>31%。</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3.项目资金管理情况（包括管理制度、办法的制订及执行情况）分析。</w:t>
      </w:r>
      <w:r>
        <w:rPr>
          <w:rFonts w:hint="eastAsia" w:ascii="仿宋_GB2312" w:hAnsi="仿宋_GB2312" w:eastAsia="仿宋_GB2312" w:cs="仿宋_GB2312"/>
          <w:sz w:val="32"/>
          <w:szCs w:val="32"/>
          <w:lang w:eastAsia="zh-CN"/>
        </w:rPr>
        <w:t>按照签订贺州市一景地下河（盘龙洞）钟乳石洞穴旅游开发项目注销许可补偿及广西贺州市钟山县望高镇水声肚铅锌锡矿勘探项目注销协议书约定和财政预算数进行支付。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4.项目资金支出及拨付合规性分析。</w:t>
      </w:r>
      <w:r>
        <w:rPr>
          <w:rFonts w:hint="eastAsia" w:ascii="仿宋_GB2312" w:hAnsi="仿宋_GB2312" w:eastAsia="仿宋_GB2312" w:cs="仿宋_GB2312"/>
          <w:sz w:val="32"/>
          <w:szCs w:val="32"/>
          <w:lang w:eastAsia="zh-CN"/>
        </w:rPr>
        <w:t>根据与乙方签订的协议书及</w:t>
      </w:r>
      <w:r>
        <w:rPr>
          <w:rFonts w:hint="eastAsia" w:ascii="仿宋_GB2312" w:hAnsi="仿宋_GB2312" w:eastAsia="仿宋_GB2312" w:cs="仿宋_GB2312"/>
          <w:sz w:val="32"/>
          <w:szCs w:val="32"/>
          <w:lang w:val="en-US" w:eastAsia="zh-CN"/>
        </w:rPr>
        <w:t>2022年财政预算数支付补偿金</w:t>
      </w:r>
      <w:r>
        <w:rPr>
          <w:rFonts w:hint="eastAsia" w:ascii="仿宋_GB2312" w:hAnsi="仿宋_GB2312" w:eastAsia="仿宋_GB2312" w:cs="仿宋_GB2312"/>
          <w:sz w:val="32"/>
          <w:szCs w:val="32"/>
          <w:lang w:eastAsia="zh-CN"/>
        </w:rPr>
        <w:t>，符合规定。</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1.项目组织情况（</w:t>
      </w:r>
      <w:r>
        <w:rPr>
          <w:rFonts w:hint="eastAsia" w:ascii="仿宋_GB2312" w:hAnsi="仿宋_GB2312" w:eastAsia="仿宋_GB2312" w:cs="仿宋_GB2312"/>
          <w:sz w:val="32"/>
          <w:szCs w:val="32"/>
          <w:lang w:eastAsia="zh-CN"/>
        </w:rPr>
        <w:t>包括项目实施主体、项目实施计划及主要内容、项目招投标情况、项目调整情况、项目实施过程及进度、项目完工验收和质量等），项目实施进度若与计划进度有较大差异的，需说明相关原因。该项目补偿总金额为</w:t>
      </w:r>
      <w:r>
        <w:rPr>
          <w:rFonts w:hint="eastAsia" w:ascii="仿宋_GB2312" w:hAnsi="仿宋_GB2312" w:eastAsia="仿宋_GB2312" w:cs="仿宋_GB2312"/>
          <w:sz w:val="32"/>
          <w:szCs w:val="32"/>
          <w:lang w:val="en-US" w:eastAsia="zh-CN"/>
        </w:rPr>
        <w:t>3883.0805万元，不涉及项目进度问题。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2.项目管理情况（包括项目管理制度建设、日常检查监督管理、日常绩效运行监控开展等情况）。</w:t>
      </w:r>
      <w:r>
        <w:rPr>
          <w:rFonts w:hint="eastAsia" w:ascii="仿宋_GB2312" w:hAnsi="仿宋_GB2312" w:eastAsia="仿宋_GB2312" w:cs="仿宋_GB2312"/>
          <w:sz w:val="32"/>
          <w:szCs w:val="32"/>
          <w:lang w:eastAsia="zh-CN"/>
        </w:rPr>
        <w:t>该项目按签订的协议书支付补偿金，不涉及项目管理。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对照绩效产出指标逐项进行分析说明项目完成的数量、质量、时效等。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（1）支付金额按合同约定程序支付（满分30分，得30分）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（2）按要求组织行业专家进行评审（满分20分，得20分）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对照绩效效益指标逐项进行分析说明项目实施后，取得的经济效益、社会效益、生态效益等。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（满分40分，得40分）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（1）为企业解决补偿金问题（满分30分，得30分）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（2）服务对象满意度达到85%以上（满分10分，得10分）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主要是对项目完成后，后续政策、资金、人员机构安排和管理措施等影响项目持续发展的因素进行分析。包括项目的生命周期、发展潜力、营运管理、未来预期收入、政府支持、行业前景等影响项目可持续性的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96.53分，</w:t>
      </w:r>
      <w:r>
        <w:rPr>
          <w:rFonts w:hint="eastAsia" w:ascii="仿宋_GB2312" w:hAnsi="仿宋_GB2312" w:eastAsia="仿宋_GB2312" w:cs="仿宋_GB2312"/>
          <w:sz w:val="32"/>
          <w:szCs w:val="32"/>
        </w:rPr>
        <w:t>评价等级为</w:t>
      </w:r>
      <w:r>
        <w:rPr>
          <w:rFonts w:hint="eastAsia" w:ascii="仿宋_GB2312" w:hAnsi="仿宋_GB2312" w:eastAsia="仿宋_GB2312" w:cs="仿宋_GB2312"/>
          <w:sz w:val="32"/>
          <w:szCs w:val="32"/>
          <w:lang w:eastAsia="zh-CN"/>
        </w:rPr>
        <w:t>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（三）意见建议。</w:t>
      </w: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黑体" w:hAnsi="黑体" w:eastAsia="黑体" w:cs="黑体"/>
          <w:sz w:val="32"/>
          <w:szCs w:val="32"/>
        </w:rPr>
        <w:t>四、其他需要说明的问题</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00"/>
    <w:family w:val="auto"/>
    <w:pitch w:val="default"/>
    <w:sig w:usb0="00000000" w:usb1="00000000" w:usb2="00000000" w:usb3="00000000" w:csb0="00000000" w:csb1="00000000"/>
  </w:font>
  <w:font w:name="FZXBSK--GBK1-0">
    <w:altName w:val="宋体"/>
    <w:panose1 w:val="00000000000000000000"/>
    <w:charset w:val="86"/>
    <w:family w:val="auto"/>
    <w:pitch w:val="default"/>
    <w:sig w:usb0="00000000" w:usb1="00000000" w:usb2="00000000" w:usb3="00000000" w:csb0="00040000" w:csb1="00000000"/>
  </w:font>
  <w:font w:name="TimesNewRomanPSMT">
    <w:altName w:val="Times New Roman"/>
    <w:panose1 w:val="00000000000000000000"/>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FangSong_GB2312">
    <w:altName w:val="仿宋_GB2312"/>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9AC3A9C"/>
    <w:rsid w:val="09C21CCC"/>
    <w:rsid w:val="14D421C7"/>
    <w:rsid w:val="15485378"/>
    <w:rsid w:val="16F11180"/>
    <w:rsid w:val="18AF055F"/>
    <w:rsid w:val="1CA1514A"/>
    <w:rsid w:val="1D024DFC"/>
    <w:rsid w:val="1D4A0A41"/>
    <w:rsid w:val="203F6352"/>
    <w:rsid w:val="2424631C"/>
    <w:rsid w:val="28DD7535"/>
    <w:rsid w:val="2976325C"/>
    <w:rsid w:val="2B1227DD"/>
    <w:rsid w:val="2D2C7B74"/>
    <w:rsid w:val="2D8D7C9C"/>
    <w:rsid w:val="2DC64C6A"/>
    <w:rsid w:val="2EBC29C4"/>
    <w:rsid w:val="31AE347F"/>
    <w:rsid w:val="32CD165C"/>
    <w:rsid w:val="34416B1F"/>
    <w:rsid w:val="36C4235A"/>
    <w:rsid w:val="3D2F0EAB"/>
    <w:rsid w:val="3E4C4CEE"/>
    <w:rsid w:val="41C104B8"/>
    <w:rsid w:val="42D75E91"/>
    <w:rsid w:val="4828087F"/>
    <w:rsid w:val="4D3E2113"/>
    <w:rsid w:val="4ECD0705"/>
    <w:rsid w:val="509F7A23"/>
    <w:rsid w:val="51D84CFC"/>
    <w:rsid w:val="52786F2C"/>
    <w:rsid w:val="5A4B6976"/>
    <w:rsid w:val="5EF34EE0"/>
    <w:rsid w:val="6703068A"/>
    <w:rsid w:val="759077BF"/>
    <w:rsid w:val="7D426B04"/>
    <w:rsid w:val="7FA57583"/>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2023-03-15T10:36:25Z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