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矿业权实地核查、绿色矿山验收评估</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项目支出绩效自评报告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项目名称：矿业权实地核查、绿色矿山验收评估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default" w:ascii="Arial" w:hAnsi="Arial" w:eastAsia="宋体" w:cs="Arial"/>
          <w:sz w:val="30"/>
          <w:szCs w:val="30"/>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default" w:ascii="Arial" w:hAnsi="Arial" w:eastAsia="宋体" w:cs="Arial"/>
          <w:sz w:val="30"/>
          <w:szCs w:val="30"/>
        </w:rPr>
        <w:t>√</w:t>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ascii="宋体" w:hAnsi="宋体" w:eastAsia="宋体" w:cs="宋体"/>
          <w:sz w:val="32"/>
          <w:szCs w:val="32"/>
        </w:rPr>
        <w:t>部门（单位）名称（盖章）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2</w:t>
      </w:r>
      <w:r>
        <w:rPr>
          <w:rFonts w:hint="eastAsia" w:ascii="宋体" w:hAnsi="宋体" w:eastAsia="宋体" w:cs="宋体"/>
          <w:sz w:val="32"/>
          <w:szCs w:val="32"/>
        </w:rPr>
        <w:t>月</w:t>
      </w:r>
      <w:r>
        <w:rPr>
          <w:rFonts w:hint="eastAsia" w:hAnsi="宋体" w:eastAsia="宋体" w:cs="宋体"/>
          <w:sz w:val="32"/>
          <w:szCs w:val="32"/>
          <w:lang w:val="en-US" w:eastAsia="zh-CN"/>
        </w:rPr>
        <w:t>23</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矿业权实地核查、绿色矿山验收评估</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李修专</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r>
              <w:rPr>
                <w:rFonts w:hint="default" w:ascii="宋体" w:hAnsi="宋体" w:eastAsia="宋体" w:cs="宋体"/>
                <w:sz w:val="18"/>
                <w:szCs w:val="18"/>
                <w:lang w:val="en-US" w:eastAsia="zh-CN"/>
              </w:rPr>
              <w:t>5685906</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贺财预〔2022〕1号</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2022年</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 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1个；  其中：市本级1个，县（区）0个。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自治区国土资源厅办公室《关于实施矿业权人勘查开采信息公示制度的通知》（桂国土资办〔2016〕538号</w:t>
            </w:r>
            <w:r>
              <w:rPr>
                <w:rFonts w:hint="eastAsia" w:ascii="宋体" w:hAnsi="宋体" w:eastAsia="宋体" w:cs="宋体"/>
                <w:sz w:val="18"/>
                <w:szCs w:val="18"/>
                <w:lang w:eastAsia="zh-CN"/>
              </w:rPr>
              <w:t>等文件</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3.公开招标立项的项目□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12</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1.34</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11.17</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1.34</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11.17</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灵峰爱群村砖厂页岩矿等4座矿山绿色矿山专家评估费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0.24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0.24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灵峰爱群村砖厂页岩矿等4座矿山绿色矿山专家评估费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0.32</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0.32</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灵峰爱群村砖厂页岩矿等4座矿山绿色矿山专家评估费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0.24</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0.24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平桂望高鸡心山大理石矿绿色矿山考核评估专家费0.06</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0.06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0.06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平桂望高鸡心山大理石矿绿色矿山考核评估专家费</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0.06</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0.06</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李修专</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陈坚</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姓名：唐子君</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：矿业资源保护监督科</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立项背景依据</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项目内容、资金用途及目的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治区国土资源厅办公室《关于实施矿业权人勘查开采信息公示制度的通知》（桂国土资办〔2016〕538号、《广西壮族自治区自然资源厅关于印发〈广西壮族自治区绿色矿山建设管理办法〉的通知》(桂自然资规〔2019〕5号)、</w:t>
      </w:r>
      <w:r>
        <w:rPr>
          <w:rFonts w:hint="eastAsia" w:ascii="仿宋_GB2312" w:hAnsi="仿宋_GB2312" w:eastAsia="仿宋_GB2312" w:cs="仿宋_GB2312"/>
          <w:sz w:val="32"/>
          <w:szCs w:val="32"/>
          <w:lang w:val="en-US" w:eastAsia="zh-CN"/>
        </w:rPr>
        <w:t>《广西壮族自治区自然资源厅关于改进矿产资源勘查开采监督管理有关事项的通知》（桂自然资规〔2020〕10号）</w:t>
      </w:r>
      <w:r>
        <w:rPr>
          <w:rFonts w:hint="eastAsia" w:ascii="仿宋_GB2312" w:hAnsi="仿宋_GB2312" w:eastAsia="仿宋_GB2312" w:cs="仿宋_GB2312"/>
          <w:sz w:val="32"/>
          <w:szCs w:val="32"/>
        </w:rPr>
        <w:t>《贺州市绿色矿山建设管理实施办法（试行）》（贺自然资规〔2O20〕2号）、《贺州市自然资源局党组会议纪要》（贺自然党组阅[2021]4号。实地核查矿业权勘查开采信息公示实地核查专家劳务费（人民币）：每人每天伍佰元整（税后）。</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w:t>
      </w:r>
      <w:r>
        <w:rPr>
          <w:rFonts w:hint="eastAsia" w:ascii="仿宋_GB2312" w:hAnsi="仿宋_GB2312" w:eastAsia="仿宋_GB2312" w:cs="仿宋_GB2312"/>
          <w:sz w:val="32"/>
          <w:szCs w:val="32"/>
          <w:lang w:eastAsia="zh-CN"/>
        </w:rPr>
        <w:t>：该项目在年初预算安排</w:t>
      </w:r>
      <w:r>
        <w:rPr>
          <w:rFonts w:hint="eastAsia" w:ascii="仿宋_GB2312" w:hAnsi="仿宋_GB2312" w:eastAsia="仿宋_GB2312" w:cs="仿宋_GB2312"/>
          <w:sz w:val="32"/>
          <w:szCs w:val="32"/>
          <w:lang w:val="en-US" w:eastAsia="zh-CN"/>
        </w:rPr>
        <w:t>12万元，全年资金到位1.34万元</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w:t>
      </w:r>
      <w:r>
        <w:rPr>
          <w:rFonts w:hint="eastAsia" w:ascii="仿宋_GB2312" w:hAnsi="仿宋_GB2312" w:eastAsia="仿宋_GB2312" w:cs="仿宋_GB2312"/>
          <w:sz w:val="32"/>
          <w:szCs w:val="32"/>
          <w:lang w:eastAsia="zh-CN"/>
        </w:rPr>
        <w:t>：该项目全年</w:t>
      </w:r>
      <w:r>
        <w:rPr>
          <w:rFonts w:hint="eastAsia" w:ascii="仿宋_GB2312" w:hAnsi="仿宋_GB2312" w:eastAsia="仿宋_GB2312" w:cs="仿宋_GB2312"/>
          <w:sz w:val="32"/>
          <w:szCs w:val="32"/>
          <w:lang w:val="en-US" w:eastAsia="zh-CN"/>
        </w:rPr>
        <w:t>支付灵峰爱群村砖厂页岩矿等4座矿山绿色矿山专家评估费等11笔共1.34万元，预算执行率11.17%，无超支情况</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1.项目组织情况：该项目实施主体为贺州市自然资源局，用于支付专家评估费用，无</w:t>
      </w:r>
      <w:r>
        <w:rPr>
          <w:rFonts w:hint="eastAsia" w:ascii="仿宋_GB2312" w:hAnsi="仿宋_GB2312" w:eastAsia="仿宋_GB2312" w:cs="仿宋_GB2312"/>
          <w:sz w:val="32"/>
          <w:szCs w:val="32"/>
          <w:lang w:eastAsia="zh-CN"/>
        </w:rPr>
        <w:t>项目招投标情况、项目调整情况等情况。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对照绩效产出指标逐项进行分析说明项目完成的数量、质量、时效等。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产出指标设定与实际情况存在偏差。该项目设定为支付零星绿色矿山专家评估费，产出数量应为11人次，支付专家评估费11笔。产出质量为评估通过专家验收，产出实效为2022年12月31日前。是有设定的指标均达到或满足，得满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（二）项目效益情况分析。</w:t>
      </w:r>
      <w:r>
        <w:rPr>
          <w:rFonts w:hint="eastAsia" w:ascii="仿宋_GB2312" w:hAnsi="仿宋_GB2312" w:eastAsia="仿宋_GB2312" w:cs="仿宋_GB2312"/>
          <w:sz w:val="32"/>
          <w:szCs w:val="32"/>
          <w:lang w:val="en-US" w:eastAsia="zh-CN"/>
        </w:rPr>
        <w:t>对照绩效效益指标逐项进行分析说明项目实施后，取得的经济效益、社会效益、生态效益等。</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1.效果</w:t>
      </w:r>
      <w:r>
        <w:rPr>
          <w:rFonts w:hint="eastAsia" w:ascii="仿宋_GB2312" w:hAnsi="仿宋_GB2312" w:eastAsia="仿宋_GB2312" w:cs="仿宋_GB2312"/>
          <w:sz w:val="32"/>
          <w:szCs w:val="32"/>
          <w:lang w:val="en-US" w:eastAsia="zh-CN"/>
        </w:rPr>
        <w:t>（满分30分，得30分）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护矿山企业创造社会财富，增加工业产值和增加企业税收。保护国家矿产资源，促进矿产资源开发合法合规。促进企业正常规范开采生产，就地安排返乡农民工，促乡村振兴。矿山企业开采的生态修复工作进一步得到加强，绿色生态理念得到落实。</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（三）项目可持续性分析。</w:t>
      </w:r>
      <w:r>
        <w:rPr>
          <w:rFonts w:hint="eastAsia" w:ascii="仿宋_GB2312" w:hAnsi="仿宋_GB2312" w:eastAsia="仿宋_GB2312" w:cs="仿宋_GB2312"/>
          <w:sz w:val="32"/>
          <w:szCs w:val="32"/>
          <w:lang w:val="en-US" w:eastAsia="zh-CN"/>
        </w:rPr>
        <w:t>掌握矿山连续生产的实际情况。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91.12</w:t>
      </w:r>
      <w:bookmarkStart w:id="0" w:name="_GoBack"/>
      <w:bookmarkEnd w:id="0"/>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评价等级为</w:t>
      </w:r>
      <w:r>
        <w:rPr>
          <w:rFonts w:hint="eastAsia" w:ascii="仿宋_GB2312" w:hAnsi="仿宋_GB2312" w:eastAsia="仿宋_GB2312" w:cs="仿宋_GB2312"/>
          <w:sz w:val="32"/>
          <w:szCs w:val="32"/>
          <w:lang w:eastAsia="zh-CN"/>
        </w:rPr>
        <w:t>一等</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存在问题及原因分析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意见建议。</w:t>
      </w:r>
      <w:r>
        <w:rPr>
          <w:rFonts w:hint="eastAsia" w:ascii="仿宋_GB2312" w:hAnsi="仿宋_GB2312" w:eastAsia="仿宋_GB2312" w:cs="仿宋_GB2312"/>
          <w:sz w:val="32"/>
          <w:szCs w:val="32"/>
        </w:rPr>
        <w:t>　</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firstLine="320" w:firstLineChars="1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p>
      <w:pPr>
        <w:pStyle w:val="2"/>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其他需要说明的问题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无</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Garamond">
    <w:panose1 w:val="02020502050306020203"/>
    <w:charset w:val="00"/>
    <w:family w:val="roman"/>
    <w:pitch w:val="default"/>
    <w:sig w:usb0="00000007" w:usb1="00000000" w:usb2="00000000" w:usb3="00000000" w:csb0="00000093" w:csb1="00000000"/>
  </w:font>
  <w:font w:name="Arial Black">
    <w:panose1 w:val="020B0A04020102020204"/>
    <w:charset w:val="00"/>
    <w:family w:val="swiss"/>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Andalus">
    <w:panose1 w:val="02020603050405020304"/>
    <w:charset w:val="00"/>
    <w:family w:val="auto"/>
    <w:pitch w:val="default"/>
    <w:sig w:usb0="00002003" w:usb1="80000000" w:usb2="00000008" w:usb3="00000000" w:csb0="00000041" w:csb1="20080000"/>
  </w:font>
  <w:font w:name="Aharoni">
    <w:panose1 w:val="02010803020104030203"/>
    <w:charset w:val="00"/>
    <w:family w:val="auto"/>
    <w:pitch w:val="default"/>
    <w:sig w:usb0="00000801" w:usb1="00000000" w:usb2="00000000" w:usb3="00000000" w:csb0="00000020" w:csb1="00200000"/>
  </w:font>
  <w:font w:name="Microsoft JhengHei">
    <w:panose1 w:val="020B0604030504040204"/>
    <w:charset w:val="88"/>
    <w:family w:val="auto"/>
    <w:pitch w:val="default"/>
    <w:sig w:usb0="00000087" w:usb1="28AF4000" w:usb2="00000016" w:usb3="00000000" w:csb0="00100009" w:csb1="00000000"/>
  </w:font>
  <w:font w:name="Meiryo UI">
    <w:panose1 w:val="020B0604030504040204"/>
    <w:charset w:val="80"/>
    <w:family w:val="auto"/>
    <w:pitch w:val="default"/>
    <w:sig w:usb0="E10102FF" w:usb1="EAC7FFFF" w:usb2="00010012" w:usb3="00000000" w:csb0="6002009F" w:csb1="DFD7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825B4"/>
    <w:multiLevelType w:val="singleLevel"/>
    <w:tmpl w:val="63F825B4"/>
    <w:lvl w:ilvl="0" w:tentative="0">
      <w:start w:val="2"/>
      <w:numFmt w:val="chineseCounting"/>
      <w:suff w:val="nothing"/>
      <w:lvlText w:val="（%1）"/>
      <w:lvlJc w:val="left"/>
    </w:lvl>
  </w:abstractNum>
  <w:abstractNum w:abstractNumId="1">
    <w:nsid w:val="63F825D5"/>
    <w:multiLevelType w:val="singleLevel"/>
    <w:tmpl w:val="63F825D5"/>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characterSpacingControl w:val="compressPunctuation"/>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C3A9C"/>
    <w:rsid w:val="09C21CCC"/>
    <w:rsid w:val="12624CBB"/>
    <w:rsid w:val="14D421C7"/>
    <w:rsid w:val="15485378"/>
    <w:rsid w:val="16F11180"/>
    <w:rsid w:val="18AF055F"/>
    <w:rsid w:val="1D024DFC"/>
    <w:rsid w:val="203F6352"/>
    <w:rsid w:val="2424631C"/>
    <w:rsid w:val="28DD7535"/>
    <w:rsid w:val="2B1227DD"/>
    <w:rsid w:val="2D2C7B74"/>
    <w:rsid w:val="2D8D7C9C"/>
    <w:rsid w:val="2DC64C6A"/>
    <w:rsid w:val="2EBC29C4"/>
    <w:rsid w:val="311F2782"/>
    <w:rsid w:val="31AE347F"/>
    <w:rsid w:val="32CD165C"/>
    <w:rsid w:val="34416B1F"/>
    <w:rsid w:val="38034F78"/>
    <w:rsid w:val="39C967A1"/>
    <w:rsid w:val="3D2F0EAB"/>
    <w:rsid w:val="3E4C4CEE"/>
    <w:rsid w:val="41C104B8"/>
    <w:rsid w:val="42D75E91"/>
    <w:rsid w:val="4D3E2113"/>
    <w:rsid w:val="4ECD0705"/>
    <w:rsid w:val="509F7A23"/>
    <w:rsid w:val="52786F2C"/>
    <w:rsid w:val="5D4D5AA9"/>
    <w:rsid w:val="616F4EB9"/>
    <w:rsid w:val="636A43EF"/>
    <w:rsid w:val="6703068A"/>
    <w:rsid w:val="68A27FB8"/>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2023-03-15T02:18:26Z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