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" w:firstLineChars="1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附件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ind w:right="85"/>
        <w:rPr>
          <w:rFonts w:cs="Times New Roman"/>
          <w:b/>
          <w:bCs/>
          <w:sz w:val="40"/>
          <w:szCs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数字贺州”地理空间框架建设项目电路网络租用费用以及不动产等专项费用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绩效自评报告</w:t>
      </w:r>
    </w:p>
    <w:p>
      <w:pPr>
        <w:rPr>
          <w:rFonts w:hint="eastAsia" w:hAnsi="宋体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项目名称：</w:t>
      </w:r>
      <w:r>
        <w:rPr>
          <w:rFonts w:hint="eastAsia" w:hAnsi="宋体" w:eastAsia="宋体" w:cs="宋体"/>
          <w:sz w:val="30"/>
          <w:szCs w:val="30"/>
          <w:lang w:eastAsia="zh-CN"/>
        </w:rPr>
        <w:t>数字贺州”地理空间框架建设项目电路网络租用费用以及不动产等专项费用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主管部门：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实施单位：</w:t>
      </w:r>
      <w:r>
        <w:rPr>
          <w:rFonts w:hint="eastAsia" w:hAnsi="宋体" w:eastAsia="宋体" w:cs="宋体"/>
          <w:sz w:val="30"/>
          <w:szCs w:val="30"/>
          <w:lang w:eastAsia="zh-CN"/>
        </w:rPr>
        <w:t>贺州市自然资源局</w:t>
      </w:r>
      <w:r>
        <w:rPr>
          <w:rFonts w:hint="eastAsia" w:ascii="宋体" w:hAnsi="宋体" w:eastAsia="宋体" w:cs="宋体"/>
          <w:sz w:val="30"/>
          <w:szCs w:val="30"/>
        </w:rPr>
        <w:t xml:space="preserve">               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评价类型：事前评价□    事中评价□    事后评价</w:t>
      </w:r>
      <w:r>
        <w:rPr>
          <w:rFonts w:ascii="Arial" w:hAnsi="Arial" w:cs="Arial"/>
          <w:sz w:val="30"/>
          <w:szCs w:val="30"/>
        </w:rPr>
        <w:t>√</w:t>
      </w:r>
      <w:r>
        <w:rPr>
          <w:rFonts w:hAnsi="宋体"/>
          <w:sz w:val="30"/>
          <w:szCs w:val="30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组织方式：部门（单位）绩效自评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</w:rPr>
        <w:t>评价机构：项目单位评价组</w:t>
      </w:r>
      <w:r>
        <w:rPr>
          <w:rFonts w:ascii="Arial" w:hAnsi="Arial" w:cs="Arial"/>
          <w:sz w:val="30"/>
          <w:szCs w:val="30"/>
        </w:rPr>
        <w:t>√</w:t>
      </w:r>
      <w:r>
        <w:rPr>
          <w:rFonts w:hAnsi="宋体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 xml:space="preserve">    中介机构□    专家组□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hAnsi="宋体" w:eastAsia="宋体" w:cs="宋体"/>
          <w:sz w:val="32"/>
          <w:szCs w:val="32"/>
          <w:lang w:eastAsia="zh-CN"/>
        </w:rPr>
        <w:t>贺州市自然资源局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hAnsi="宋体" w:eastAsia="宋体" w:cs="宋体"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sz w:val="32"/>
          <w:szCs w:val="32"/>
        </w:rPr>
        <w:t>年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月</w:t>
      </w:r>
      <w:r>
        <w:rPr>
          <w:rFonts w:hint="eastAsia" w:hAnsi="宋体" w:eastAsia="宋体" w:cs="宋体"/>
          <w:sz w:val="32"/>
          <w:szCs w:val="32"/>
          <w:lang w:val="en-US" w:eastAsia="zh-CN"/>
        </w:rPr>
        <w:t>9</w:t>
      </w:r>
      <w:r>
        <w:rPr>
          <w:rFonts w:hint="eastAsia" w:ascii="宋体" w:hAnsi="宋体" w:eastAsia="宋体" w:cs="宋体"/>
          <w:sz w:val="32"/>
          <w:szCs w:val="32"/>
        </w:rPr>
        <w:t>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支出绩效自评基础信息表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</w:t>
      </w:r>
    </w:p>
    <w:tbl>
      <w:tblPr>
        <w:tblStyle w:val="13"/>
        <w:tblW w:w="10920" w:type="dxa"/>
        <w:jc w:val="center"/>
        <w:tblInd w:w="-59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"/>
        <w:gridCol w:w="360"/>
        <w:gridCol w:w="510"/>
        <w:gridCol w:w="30"/>
        <w:gridCol w:w="615"/>
        <w:gridCol w:w="420"/>
        <w:gridCol w:w="578"/>
        <w:gridCol w:w="17"/>
        <w:gridCol w:w="368"/>
        <w:gridCol w:w="152"/>
        <w:gridCol w:w="310"/>
        <w:gridCol w:w="360"/>
        <w:gridCol w:w="141"/>
        <w:gridCol w:w="265"/>
        <w:gridCol w:w="698"/>
        <w:gridCol w:w="73"/>
        <w:gridCol w:w="303"/>
        <w:gridCol w:w="6"/>
        <w:gridCol w:w="533"/>
        <w:gridCol w:w="48"/>
        <w:gridCol w:w="378"/>
        <w:gridCol w:w="1"/>
        <w:gridCol w:w="269"/>
        <w:gridCol w:w="315"/>
        <w:gridCol w:w="600"/>
        <w:gridCol w:w="2"/>
        <w:gridCol w:w="361"/>
        <w:gridCol w:w="268"/>
        <w:gridCol w:w="444"/>
        <w:gridCol w:w="251"/>
        <w:gridCol w:w="115"/>
        <w:gridCol w:w="174"/>
        <w:gridCol w:w="674"/>
        <w:gridCol w:w="940"/>
        <w:gridCol w:w="2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黑体" w:hAnsi="黑体" w:eastAsia="黑体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1-1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项目基本概况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名称</w:t>
            </w:r>
          </w:p>
        </w:tc>
        <w:tc>
          <w:tcPr>
            <w:tcW w:w="9709" w:type="dxa"/>
            <w:gridSpan w:val="31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数字贺州”地理空间框架建设项目电路网络租用费用以及不动产等专项费用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负责人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李木龙</w:t>
            </w: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联系电话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15177650732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项目资金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安排文号</w:t>
            </w:r>
          </w:p>
        </w:tc>
        <w:tc>
          <w:tcPr>
            <w:tcW w:w="4336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</w:tc>
        <w:tc>
          <w:tcPr>
            <w:tcW w:w="441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cyan"/>
                <w:lang w:val="en-US" w:eastAsia="zh-CN"/>
              </w:rPr>
              <w:t>150000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项目类型</w:t>
            </w:r>
          </w:p>
        </w:tc>
        <w:tc>
          <w:tcPr>
            <w:tcW w:w="4336" w:type="dxa"/>
            <w:gridSpan w:val="15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1.基本建设类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 xml:space="preserve"> 其中：新建□ 扩建□ 改建□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2.行政事业类□ 其中：采购</w:t>
            </w:r>
            <w:r>
              <w:rPr>
                <w:rFonts w:ascii="Arial" w:hAnsi="Arial" w:cs="Arial"/>
                <w:sz w:val="30"/>
                <w:szCs w:val="30"/>
              </w:rPr>
              <w:t>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修缮□ 奖励/补贴□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3.其他项目类□</w:t>
            </w:r>
          </w:p>
        </w:tc>
        <w:tc>
          <w:tcPr>
            <w:tcW w:w="960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项目开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始时间</w:t>
            </w: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2021年11月</w:t>
            </w:r>
          </w:p>
        </w:tc>
        <w:tc>
          <w:tcPr>
            <w:tcW w:w="81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项目完成时间</w:t>
            </w: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2021年12月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4336" w:type="dxa"/>
            <w:gridSpan w:val="15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60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1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  <w:tc>
          <w:tcPr>
            <w:tcW w:w="81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</w:p>
        </w:tc>
        <w:tc>
          <w:tcPr>
            <w:tcW w:w="17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计划：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 xml:space="preserve">    年    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资金项目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安排年度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cya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2.专家评审立项的项目□</w:t>
            </w:r>
          </w:p>
          <w:p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3.公开招标立项的项目□                               4.其他方式立项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项目（用款）单位个数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1个；  其中：市本级1 个，县（区）0 个。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397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：前期工作情况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资金设立依据（文件）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微软雅黑" w:hAnsi="微软雅黑" w:eastAsia="微软雅黑" w:cs="微软雅黑"/>
                <w:color w:val="000000"/>
                <w:sz w:val="18"/>
                <w:szCs w:val="18"/>
              </w:rPr>
              <w:t>广西壮族自治区自然资源厅关于印发《广西壮族自治区自然资源网络安全和信息化“十四五”规划（2021—2025年）》的通知</w:t>
            </w:r>
            <w:r>
              <w:rPr>
                <w:rFonts w:hint="eastAsia" w:ascii="微软雅黑" w:hAnsi="微软雅黑" w:eastAsia="微软雅黑" w:cs="微软雅黑"/>
                <w:color w:val="000000"/>
                <w:sz w:val="18"/>
                <w:szCs w:val="18"/>
                <w:lang w:val="en-US" w:eastAsia="zh-CN"/>
              </w:rPr>
              <w:t xml:space="preserve"> （</w:t>
            </w:r>
            <w:r>
              <w:rPr>
                <w:rStyle w:val="36"/>
                <w:rFonts w:hint="eastAsia" w:ascii="微软雅黑" w:hAnsi="微软雅黑" w:eastAsia="微软雅黑" w:cs="微软雅黑"/>
                <w:sz w:val="18"/>
                <w:szCs w:val="18"/>
              </w:rPr>
              <w:t>桂自然资发〔</w:t>
            </w:r>
            <w:r>
              <w:rPr>
                <w:rStyle w:val="37"/>
                <w:rFonts w:hint="eastAsia" w:ascii="微软雅黑" w:hAnsi="微软雅黑" w:eastAsia="微软雅黑" w:cs="微软雅黑"/>
                <w:sz w:val="18"/>
                <w:szCs w:val="18"/>
              </w:rPr>
              <w:t>2023</w:t>
            </w:r>
            <w:r>
              <w:rPr>
                <w:rStyle w:val="36"/>
                <w:rFonts w:hint="eastAsia" w:ascii="微软雅黑" w:hAnsi="微软雅黑" w:eastAsia="微软雅黑" w:cs="微软雅黑"/>
                <w:sz w:val="18"/>
                <w:szCs w:val="18"/>
              </w:rPr>
              <w:t xml:space="preserve">〕 </w:t>
            </w:r>
            <w:r>
              <w:rPr>
                <w:rStyle w:val="37"/>
                <w:rFonts w:hint="eastAsia" w:ascii="微软雅黑" w:hAnsi="微软雅黑" w:eastAsia="微软雅黑" w:cs="微软雅黑"/>
                <w:sz w:val="18"/>
                <w:szCs w:val="18"/>
              </w:rPr>
              <w:t xml:space="preserve">4 </w:t>
            </w:r>
            <w:r>
              <w:rPr>
                <w:rStyle w:val="36"/>
                <w:rFonts w:hint="eastAsia" w:ascii="微软雅黑" w:hAnsi="微软雅黑" w:eastAsia="微软雅黑" w:cs="微软雅黑"/>
                <w:sz w:val="18"/>
                <w:szCs w:val="18"/>
              </w:rPr>
              <w:t>号</w:t>
            </w:r>
            <w:r>
              <w:rPr>
                <w:rStyle w:val="36"/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18"/>
                <w:szCs w:val="18"/>
              </w:rPr>
              <w:t xml:space="preserve">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exact"/>
          <w:jc w:val="center"/>
        </w:trPr>
        <w:tc>
          <w:tcPr>
            <w:tcW w:w="11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立项方式</w:t>
            </w:r>
          </w:p>
        </w:tc>
        <w:tc>
          <w:tcPr>
            <w:tcW w:w="9709" w:type="dxa"/>
            <w:gridSpan w:val="3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1.发改部门批准立项的项目部门审核立项的项目□         2.专家评审立项的项目□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3.公开招标立项的项目</w:t>
            </w:r>
            <w:r>
              <w:rPr>
                <w:rFonts w:ascii="Arial" w:hAnsi="Arial" w:cs="Arial"/>
                <w:sz w:val="30"/>
                <w:szCs w:val="30"/>
              </w:rPr>
              <w:t>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                    4.其他方式立项的项目（注明具体方式）□_____________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</w:rPr>
              <w:t>1-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实施过程</w:t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情况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（单位：万元）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资金到位支付情况</w:t>
            </w:r>
          </w:p>
        </w:tc>
        <w:tc>
          <w:tcPr>
            <w:tcW w:w="1575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资金来源</w:t>
            </w:r>
          </w:p>
        </w:tc>
        <w:tc>
          <w:tcPr>
            <w:tcW w:w="192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以前资金情况</w:t>
            </w:r>
          </w:p>
        </w:tc>
        <w:tc>
          <w:tcPr>
            <w:tcW w:w="6744" w:type="dxa"/>
            <w:gridSpan w:val="2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本次评价资金情况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至本次评价前累计支出金额</w:t>
            </w:r>
          </w:p>
        </w:tc>
        <w:tc>
          <w:tcPr>
            <w:tcW w:w="963" w:type="dxa"/>
            <w:gridSpan w:val="4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预算（计划）安排</w:t>
            </w:r>
          </w:p>
        </w:tc>
        <w:tc>
          <w:tcPr>
            <w:tcW w:w="2889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实际到位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（到达项目单位）</w:t>
            </w:r>
          </w:p>
        </w:tc>
        <w:tc>
          <w:tcPr>
            <w:tcW w:w="192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实际支出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（项目单位支出）</w:t>
            </w:r>
          </w:p>
        </w:tc>
        <w:tc>
          <w:tcPr>
            <w:tcW w:w="966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结余金额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到位金额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到位时间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支出金额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支出率（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%）</w:t>
            </w:r>
          </w:p>
        </w:tc>
        <w:tc>
          <w:tcPr>
            <w:tcW w:w="966" w:type="dxa"/>
            <w:gridSpan w:val="2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合计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8.585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57.2%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6.415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中央财政资金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自治区财政资金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市财政资金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2022年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8.580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57.2%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6.42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县区财政资金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其他资金小计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①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银行贷款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②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单位自筹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　</w:t>
            </w: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3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5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80" w:firstLineChars="100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③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其他</w:t>
            </w: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67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财务合规性</w:t>
            </w: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资金实际支出明细内容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（至主要末级经济科目）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项目预算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项目实际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支出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资金支出依据（相关的资金管理办法、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批复文件、流水账号等）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0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租用移动公司专线2020年12月-2022年11月（至八步区、平桂区局）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4.56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4.56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贺财预〔2022〕1号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租用移动公司专线2021年12月-2022年11月（至房管局）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1.14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贺财预〔2022〕1号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租用移动公司专线2021年5月-2023年4月（至地环站）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1.63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1.63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贺财预〔2022〕1号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付2022年1月至12月市民服务中心电路租用费</w:t>
            </w: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1.04</w:t>
            </w: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1.04</w:t>
            </w: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贺财预〔2022〕1号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51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…</w:t>
            </w:r>
          </w:p>
        </w:tc>
        <w:tc>
          <w:tcPr>
            <w:tcW w:w="246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53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414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项目管理</w:t>
            </w:r>
          </w:p>
        </w:tc>
        <w:tc>
          <w:tcPr>
            <w:tcW w:w="3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实施程序</w:t>
            </w: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调整情况</w:t>
            </w: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.预算变动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（增减变动）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无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.支出内容调整（包括设计变动而来的调整）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.设计方案调整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有调整的项目（用款单位数量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其中按要求办理报批手续的项目（用款）单位数量</w:t>
            </w:r>
          </w:p>
        </w:tc>
        <w:tc>
          <w:tcPr>
            <w:tcW w:w="1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61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实际办理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的项目数</w:t>
            </w:r>
          </w:p>
        </w:tc>
        <w:tc>
          <w:tcPr>
            <w:tcW w:w="16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调整内容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调整原因及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批复文件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6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未办理批复的</w:t>
            </w:r>
          </w:p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项目及原因</w:t>
            </w:r>
          </w:p>
        </w:tc>
        <w:tc>
          <w:tcPr>
            <w:tcW w:w="8066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验收情况</w:t>
            </w:r>
          </w:p>
        </w:tc>
        <w:tc>
          <w:tcPr>
            <w:tcW w:w="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时间</w:t>
            </w:r>
          </w:p>
        </w:tc>
        <w:tc>
          <w:tcPr>
            <w:tcW w:w="153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6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单位</w:t>
            </w:r>
          </w:p>
        </w:tc>
        <w:tc>
          <w:tcPr>
            <w:tcW w:w="14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9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办理验收手续项目</w:t>
            </w:r>
          </w:p>
        </w:tc>
        <w:tc>
          <w:tcPr>
            <w:tcW w:w="11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（个）</w:t>
            </w:r>
          </w:p>
        </w:tc>
        <w:tc>
          <w:tcPr>
            <w:tcW w:w="1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验收程序</w:t>
            </w:r>
          </w:p>
        </w:tc>
        <w:tc>
          <w:tcPr>
            <w:tcW w:w="21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850" w:hRule="atLeast"/>
          <w:jc w:val="center"/>
        </w:trPr>
        <w:tc>
          <w:tcPr>
            <w:tcW w:w="3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3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  <w:tc>
          <w:tcPr>
            <w:tcW w:w="215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项目已完成未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办理验收的说明</w:t>
            </w:r>
          </w:p>
        </w:tc>
        <w:tc>
          <w:tcPr>
            <w:tcW w:w="7529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454" w:hRule="atLeast"/>
          <w:jc w:val="center"/>
        </w:trPr>
        <w:tc>
          <w:tcPr>
            <w:tcW w:w="10894" w:type="dxa"/>
            <w:gridSpan w:val="3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黑体" w:hAnsi="黑体" w:eastAsia="黑体" w:cs="黑体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val="en-US" w:eastAsia="zh-CN"/>
              </w:rPr>
              <w:t>1-4</w:t>
            </w: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评价人员（最少</w:t>
            </w:r>
            <w:r>
              <w:rPr>
                <w:rFonts w:hint="default" w:ascii="Times New Roman" w:hAnsi="Times New Roman" w:eastAsia="黑体" w:cs="Times New Roman"/>
                <w:sz w:val="21"/>
                <w:szCs w:val="21"/>
                <w:lang w:eastAsia="zh-CN"/>
              </w:rPr>
              <w:t>3</w:t>
            </w:r>
            <w:r>
              <w:rPr>
                <w:rFonts w:hint="eastAsia" w:ascii="黑体" w:hAnsi="黑体" w:eastAsia="黑体" w:cs="黑体"/>
                <w:sz w:val="21"/>
                <w:szCs w:val="21"/>
                <w:lang w:eastAsia="zh-CN"/>
              </w:rPr>
              <w:t>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谢崇枣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：信息中心工作人员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龚利君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：办公室工作人员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" w:type="dxa"/>
          <w:trHeight w:val="680" w:hRule="exact"/>
          <w:jc w:val="center"/>
        </w:trPr>
        <w:tc>
          <w:tcPr>
            <w:tcW w:w="284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梁远</w:t>
            </w:r>
          </w:p>
        </w:tc>
        <w:tc>
          <w:tcPr>
            <w:tcW w:w="8049" w:type="dxa"/>
            <w:gridSpan w:val="2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  <w:t>单位和职务</w:t>
            </w:r>
            <w:r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  <w:t>：财务与资金运用科工作人员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项目基本情况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网络与信息化安全是保障电子政务可持续发展的重要因素，是保障国家、政府、社会安全的关键因素。但在当今信息技术不断创新发展，电子政务信息开放程度不断深化的同时，网络安全也面临着更大的威胁与挑战。信息化关键基础设施、数据库已成为网络攻击重点，重要网络协议、操作系统、中间件、核心开发语言与代码库中存在的安全漏洞层出不穷，勒索软件等新一代软件病毒技术与社会工程学相结合，导致个人及单位重要信息泄露风险不断增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广西壮族自治区自然资源厅关于印发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广西壮族自治区自然资源网络安全和信息化“十四五”规划（2021—2025年）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&gt;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的通知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（</w:t>
      </w:r>
      <w:r>
        <w:rPr>
          <w:rStyle w:val="36"/>
          <w:rFonts w:hint="eastAsia" w:ascii="仿宋_GB2312" w:hAnsi="仿宋_GB2312" w:eastAsia="仿宋_GB2312" w:cs="仿宋_GB2312"/>
          <w:sz w:val="32"/>
          <w:szCs w:val="32"/>
        </w:rPr>
        <w:t>桂自然资发〔</w:t>
      </w:r>
      <w:r>
        <w:rPr>
          <w:rStyle w:val="37"/>
          <w:rFonts w:hint="eastAsia" w:ascii="仿宋_GB2312" w:hAnsi="仿宋_GB2312" w:eastAsia="仿宋_GB2312" w:cs="仿宋_GB2312"/>
          <w:sz w:val="32"/>
          <w:szCs w:val="32"/>
        </w:rPr>
        <w:t>2023</w:t>
      </w:r>
      <w:r>
        <w:rPr>
          <w:rStyle w:val="36"/>
          <w:rFonts w:hint="eastAsia" w:ascii="仿宋_GB2312" w:hAnsi="仿宋_GB2312" w:eastAsia="仿宋_GB2312" w:cs="仿宋_GB2312"/>
          <w:sz w:val="32"/>
          <w:szCs w:val="32"/>
        </w:rPr>
        <w:t xml:space="preserve">〕 </w:t>
      </w:r>
      <w:r>
        <w:rPr>
          <w:rStyle w:val="37"/>
          <w:rFonts w:hint="eastAsia" w:ascii="仿宋_GB2312" w:hAnsi="仿宋_GB2312" w:eastAsia="仿宋_GB2312" w:cs="仿宋_GB2312"/>
          <w:sz w:val="32"/>
          <w:szCs w:val="32"/>
        </w:rPr>
        <w:t xml:space="preserve">4 </w:t>
      </w:r>
      <w:r>
        <w:rPr>
          <w:rStyle w:val="36"/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Style w:val="36"/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以习近平新时代中国特色社会主义思想为指导，全面贯彻党的十九大、十九届历次全会和党的二十大精神及自治区第十二次党代会精神，贯彻习近平生态文明思想和习近平总书记关于自然资源管理、网络安全与信息化工作的重要论述，坚持创新、协调、绿色、开放、共享发展理念，以创新为根本动力，按照国家、自然资源部、自治区党委、自治区政府对信息化建设的部署与要求，面向自然资源管理改革创新，坚持总体国家安全观，进一步提升自然资源管理的信息化、网络化和智能化水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,保障自然资源局与县区局、房管局网络畅通，便于服务于民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（二）项目资金管理使用情况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安排落实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2.项目资金实际使用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8.376万元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，预算执行率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83.76%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项目资金根据财务管理进行专款专用，各项支出符合项目进度及财务制度管理要求。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项目组织管理情况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做好安全设备维保，信心中心积极按合同要求督促作业单位按时按质提供技术服务，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项目计划于2021年12月组织验收，已支付项目款四笔共8.376万元。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</w:t>
      </w:r>
      <w:r>
        <w:rPr>
          <w:rFonts w:hint="eastAsia" w:ascii="黑体" w:hAnsi="黑体" w:eastAsia="黑体" w:cs="黑体"/>
          <w:sz w:val="32"/>
          <w:szCs w:val="32"/>
        </w:rPr>
        <w:t>绩效分析及评价结论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（一）项目产出完成情况分析。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产出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（满分50分，得50分）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对我局网络风险、网络结构和网络设备进行评估并进行渗透测试，进行网络安全巡检，根据测试结果和巡检情况，对我局网络安全设备进行调优维护。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（二）项目效益情况分析。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效果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（满分40分，得40分）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加强了我局网络安全，保障市自然资源局与县区局、房管局等单位的网络畅通。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）评价结果和评价结论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自评总分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98.38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等级为一等。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三、经验总结、存在问题及意见建议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其他需要说明的问题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无</w:t>
      </w:r>
    </w:p>
    <w:sectPr>
      <w:footerReference r:id="rId3" w:type="default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 w:start="7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nt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co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cooperati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port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dev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coms0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v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workflow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-repor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10002FF" w:usb1="4000FCFF" w:usb2="00000009" w:usb3="00000000" w:csb0="600001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琥珀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82016" w:usb3="00000000" w:csb0="00040001" w:csb1="00000000"/>
  </w:font>
  <w:font w:name="等线 Light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Microsoft JhengHei UI">
    <w:altName w:val="Microsoft JhengHei"/>
    <w:panose1 w:val="020B0604030504040204"/>
    <w:charset w:val="88"/>
    <w:family w:val="auto"/>
    <w:pitch w:val="default"/>
    <w:sig w:usb0="00000000" w:usb1="00000000" w:usb2="00000016" w:usb3="00000000" w:csb0="00100009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95C3F"/>
    <w:multiLevelType w:val="singleLevel"/>
    <w:tmpl w:val="64095C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compressPunctuation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C3A9C"/>
    <w:rsid w:val="09C21CCC"/>
    <w:rsid w:val="0EB62F23"/>
    <w:rsid w:val="10291700"/>
    <w:rsid w:val="14D421C7"/>
    <w:rsid w:val="152147BC"/>
    <w:rsid w:val="15485378"/>
    <w:rsid w:val="169F4218"/>
    <w:rsid w:val="16F11180"/>
    <w:rsid w:val="18AF055F"/>
    <w:rsid w:val="1D024DFC"/>
    <w:rsid w:val="203F6352"/>
    <w:rsid w:val="2424631C"/>
    <w:rsid w:val="28DD7535"/>
    <w:rsid w:val="2B1227DD"/>
    <w:rsid w:val="2D2C7B74"/>
    <w:rsid w:val="2D8D7C9C"/>
    <w:rsid w:val="2DC64C6A"/>
    <w:rsid w:val="2EBC29C4"/>
    <w:rsid w:val="31AE347F"/>
    <w:rsid w:val="32CD165C"/>
    <w:rsid w:val="34416B1F"/>
    <w:rsid w:val="37E63BA3"/>
    <w:rsid w:val="3D2F0EAB"/>
    <w:rsid w:val="3E4C4CEE"/>
    <w:rsid w:val="41C104B8"/>
    <w:rsid w:val="42D75E91"/>
    <w:rsid w:val="43FA7356"/>
    <w:rsid w:val="45E21F3C"/>
    <w:rsid w:val="4D3E2113"/>
    <w:rsid w:val="4ECD0705"/>
    <w:rsid w:val="509F7A23"/>
    <w:rsid w:val="52786F2C"/>
    <w:rsid w:val="653A52AA"/>
    <w:rsid w:val="6703068A"/>
    <w:rsid w:val="759077BF"/>
    <w:rsid w:val="76073364"/>
    <w:rsid w:val="7FDA39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4D7AD8"/>
      <w:u w:val="none"/>
    </w:rPr>
  </w:style>
  <w:style w:type="character" w:styleId="8">
    <w:name w:val="HTML Definition"/>
    <w:basedOn w:val="5"/>
    <w:uiPriority w:val="0"/>
    <w:rPr>
      <w:i/>
    </w:rPr>
  </w:style>
  <w:style w:type="character" w:styleId="9">
    <w:name w:val="Hyperlink"/>
    <w:basedOn w:val="5"/>
    <w:uiPriority w:val="0"/>
    <w:rPr>
      <w:color w:val="4D7AD8"/>
      <w:u w:val="none"/>
    </w:rPr>
  </w:style>
  <w:style w:type="character" w:styleId="10">
    <w:name w:val="HTML Code"/>
    <w:basedOn w:val="5"/>
    <w:uiPriority w:val="0"/>
    <w:rPr>
      <w:rFonts w:hint="default" w:ascii="Consolas" w:hAnsi="Consolas" w:eastAsia="Consolas" w:cs="Consolas"/>
      <w:sz w:val="21"/>
      <w:szCs w:val="21"/>
    </w:rPr>
  </w:style>
  <w:style w:type="character" w:styleId="11">
    <w:name w:val="HTML Keyboard"/>
    <w:basedOn w:val="5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12">
    <w:name w:val="HTML Sample"/>
    <w:basedOn w:val="5"/>
    <w:uiPriority w:val="0"/>
    <w:rPr>
      <w:rFonts w:ascii="Consolas" w:hAnsi="Consolas" w:eastAsia="Consolas" w:cs="Consolas"/>
      <w:sz w:val="21"/>
      <w:szCs w:val="21"/>
    </w:rPr>
  </w:style>
  <w:style w:type="character" w:customStyle="1" w:styleId="14">
    <w:name w:val="hover34"/>
    <w:basedOn w:val="5"/>
    <w:uiPriority w:val="0"/>
    <w:rPr>
      <w:color w:val="009DFF"/>
    </w:rPr>
  </w:style>
  <w:style w:type="character" w:customStyle="1" w:styleId="15">
    <w:name w:val="hover35"/>
    <w:basedOn w:val="5"/>
    <w:qFormat/>
    <w:uiPriority w:val="0"/>
    <w:rPr>
      <w:color w:val="009DFF"/>
    </w:rPr>
  </w:style>
  <w:style w:type="character" w:customStyle="1" w:styleId="16">
    <w:name w:val="button"/>
    <w:basedOn w:val="5"/>
    <w:uiPriority w:val="0"/>
  </w:style>
  <w:style w:type="character" w:customStyle="1" w:styleId="17">
    <w:name w:val="ant-table-row-expand-icon"/>
    <w:basedOn w:val="5"/>
    <w:uiPriority w:val="0"/>
    <w:rPr>
      <w:vanish/>
    </w:rPr>
  </w:style>
  <w:style w:type="character" w:customStyle="1" w:styleId="18">
    <w:name w:val="ant-select-tree-checkbox2"/>
    <w:basedOn w:val="5"/>
    <w:uiPriority w:val="0"/>
  </w:style>
  <w:style w:type="character" w:customStyle="1" w:styleId="19">
    <w:name w:val="not-pass-node"/>
    <w:basedOn w:val="5"/>
    <w:qFormat/>
    <w:uiPriority w:val="0"/>
    <w:rPr>
      <w:bdr w:val="single" w:color="5ABD6B" w:sz="6" w:space="0"/>
      <w:shd w:val="clear" w:fill="BFF3C3"/>
    </w:rPr>
  </w:style>
  <w:style w:type="character" w:customStyle="1" w:styleId="20">
    <w:name w:val="ant-radio+*"/>
    <w:basedOn w:val="5"/>
    <w:uiPriority w:val="0"/>
  </w:style>
  <w:style w:type="character" w:customStyle="1" w:styleId="21">
    <w:name w:val="tmpztreemove_arrow"/>
    <w:basedOn w:val="5"/>
    <w:uiPriority w:val="0"/>
  </w:style>
  <w:style w:type="character" w:customStyle="1" w:styleId="22">
    <w:name w:val="current-node"/>
    <w:basedOn w:val="5"/>
    <w:uiPriority w:val="0"/>
    <w:rPr>
      <w:bdr w:val="single" w:color="F5B87B" w:sz="6" w:space="0"/>
      <w:shd w:val="clear" w:fill="FFE8CC"/>
    </w:rPr>
  </w:style>
  <w:style w:type="character" w:customStyle="1" w:styleId="23">
    <w:name w:val="ant-select-tree-iconele"/>
    <w:basedOn w:val="5"/>
    <w:qFormat/>
    <w:uiPriority w:val="0"/>
  </w:style>
  <w:style w:type="character" w:customStyle="1" w:styleId="24">
    <w:name w:val="wea-thumbnails-doc-content-subtitle"/>
    <w:basedOn w:val="5"/>
    <w:uiPriority w:val="0"/>
    <w:rPr>
      <w:color w:val="9A9A9A"/>
    </w:rPr>
  </w:style>
  <w:style w:type="character" w:customStyle="1" w:styleId="25">
    <w:name w:val="ant-select-tree-switcher"/>
    <w:basedOn w:val="5"/>
    <w:uiPriority w:val="0"/>
  </w:style>
  <w:style w:type="character" w:customStyle="1" w:styleId="26">
    <w:name w:val="ant-tree-switcher10"/>
    <w:basedOn w:val="5"/>
    <w:uiPriority w:val="0"/>
  </w:style>
  <w:style w:type="character" w:customStyle="1" w:styleId="27">
    <w:name w:val="ant-tree-checkbox8"/>
    <w:basedOn w:val="5"/>
    <w:uiPriority w:val="0"/>
  </w:style>
  <w:style w:type="character" w:customStyle="1" w:styleId="28">
    <w:name w:val="ant-tree-iconele"/>
    <w:basedOn w:val="5"/>
    <w:qFormat/>
    <w:uiPriority w:val="0"/>
  </w:style>
  <w:style w:type="character" w:customStyle="1" w:styleId="29">
    <w:name w:val="passed-node"/>
    <w:basedOn w:val="5"/>
    <w:uiPriority w:val="0"/>
    <w:rPr>
      <w:bdr w:val="single" w:color="49A8D4" w:sz="6" w:space="0"/>
      <w:shd w:val="clear" w:fill="A9E3FF"/>
    </w:rPr>
  </w:style>
  <w:style w:type="character" w:customStyle="1" w:styleId="30">
    <w:name w:val="auto-pass-node"/>
    <w:basedOn w:val="5"/>
    <w:uiPriority w:val="0"/>
    <w:rPr>
      <w:bdr w:val="single" w:color="DC4446" w:sz="6" w:space="0"/>
      <w:shd w:val="clear" w:fill="A9E2FF"/>
    </w:rPr>
  </w:style>
  <w:style w:type="character" w:customStyle="1" w:styleId="31">
    <w:name w:val="first-of-type"/>
    <w:basedOn w:val="5"/>
    <w:uiPriority w:val="0"/>
    <w:rPr>
      <w:color w:val="FF0000"/>
    </w:rPr>
  </w:style>
  <w:style w:type="character" w:customStyle="1" w:styleId="32">
    <w:name w:val="first-of-type1"/>
    <w:basedOn w:val="5"/>
    <w:qFormat/>
    <w:uiPriority w:val="0"/>
    <w:rPr>
      <w:color w:val="FF0000"/>
    </w:rPr>
  </w:style>
  <w:style w:type="character" w:customStyle="1" w:styleId="33">
    <w:name w:val="wea-dropdown-triangle2"/>
    <w:basedOn w:val="5"/>
    <w:uiPriority w:val="0"/>
  </w:style>
  <w:style w:type="character" w:customStyle="1" w:styleId="34">
    <w:name w:val="isrevision"/>
    <w:basedOn w:val="5"/>
    <w:uiPriority w:val="0"/>
    <w:rPr>
      <w:color w:val="000000"/>
      <w:sz w:val="18"/>
      <w:szCs w:val="18"/>
      <w:bdr w:val="single" w:color="E9E9E9" w:sz="6" w:space="0"/>
      <w:shd w:val="clear" w:fill="FFFFFF"/>
    </w:rPr>
  </w:style>
  <w:style w:type="character" w:customStyle="1" w:styleId="35">
    <w:name w:val="disabled4"/>
    <w:basedOn w:val="5"/>
    <w:uiPriority w:val="0"/>
    <w:rPr>
      <w:color w:val="AAAAAA"/>
      <w:shd w:val="clear" w:fill="F7F7F7"/>
    </w:rPr>
  </w:style>
  <w:style w:type="character" w:customStyle="1" w:styleId="36">
    <w:name w:val="fontstyle01"/>
    <w:basedOn w:val="5"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character" w:customStyle="1" w:styleId="37">
    <w:name w:val="fontstyle21"/>
    <w:basedOn w:val="5"/>
    <w:uiPriority w:val="0"/>
    <w:rPr>
      <w:rFonts w:ascii="TimesNewRomanPSMT" w:hAnsi="TimesNewRomanPSMT" w:eastAsia="TimesNewRomanPSMT" w:cs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Office_10.8.0.6423_F1E327BC-269C-435d-A152-05C5408002CA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2019-04-02T08:33:00Z</dcterms:created>
  <dc:creator>CZJ</dc:creator>
  <cp:lastModifiedBy>陆廷军</cp:lastModifiedBy>
  <cp:lastPrinted>2022-04-08T02:44:00Z</cp:lastPrinted>
  <dcterms:modified xsi:type="dcterms:W3CDTF">2023-03-15T03:33:41Z</dcterms:modified>
  <dc:title>附件5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