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地质灾害专项经费项目支出绩效</w:t>
      </w: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项目名称：地质灾害专项经费</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实施单位：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3</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地质灾害专项经费</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郭祖清</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07745685519</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桂财资环〔2020〕96号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1个；  其中：市本级1个，县（区）0个。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仿宋_GB2312" w:hAnsi="仿宋_GB2312" w:eastAsia="仿宋_GB2312" w:cs="仿宋_GB2312"/>
                <w:sz w:val="21"/>
                <w:szCs w:val="21"/>
              </w:rPr>
              <w:t>广西壮族自治区财政厅关于提前下达2021年自然资源领域资金预算的通知桂财资环〔2020〕96号</w:t>
            </w:r>
            <w:r>
              <w:rPr>
                <w:rFonts w:hint="eastAsia" w:ascii="仿宋_GB2312" w:hAnsi="仿宋_GB2312" w:eastAsia="仿宋_GB2312" w:cs="仿宋_GB2312"/>
                <w:sz w:val="21"/>
                <w:szCs w:val="21"/>
                <w:lang w:eastAsia="zh-CN"/>
              </w:rPr>
              <w:t>文件下达市本级地质灾害专项资金</w:t>
            </w:r>
            <w:r>
              <w:rPr>
                <w:rFonts w:hint="eastAsia" w:ascii="仿宋_GB2312" w:hAnsi="仿宋_GB2312" w:eastAsia="仿宋_GB2312" w:cs="仿宋_GB2312"/>
                <w:sz w:val="21"/>
                <w:szCs w:val="21"/>
                <w:lang w:val="en-US" w:eastAsia="zh-CN"/>
              </w:rPr>
              <w:t>175万元</w:t>
            </w:r>
            <w:r>
              <w:rPr>
                <w:rFonts w:hint="eastAsia" w:ascii="仿宋_GB2312" w:hAnsi="仿宋_GB2312" w:eastAsia="仿宋_GB2312" w:cs="仿宋_GB2312"/>
                <w:sz w:val="21"/>
                <w:szCs w:val="21"/>
                <w:lang w:eastAsia="zh-CN"/>
              </w:rPr>
              <w:t>，用于开展地质灾害防治相关工作。</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118.44</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5.437</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180.437</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123.877</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68.65</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2020.12.31</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118.447</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95.61</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5.437</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123.877</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118.447</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eastAsia="zh-CN"/>
              </w:rPr>
              <w:t>根据签订的采购合同支付条款支付项目费用</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编制贺州市17处拟治理地质灾害隐患点勘察设计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123.877</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118.447</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eastAsia="zh-CN"/>
              </w:rPr>
              <w:t>根据签订的采购合同支付条款支付项目费用</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2022年12月</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贺州市自然资源局</w:t>
            </w: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专家评审</w:t>
            </w: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编制单位提交了规划文本送审稿，并通过专家评审。</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李双利</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：桂林地质环境监测站</w:t>
            </w:r>
            <w:r>
              <w:rPr>
                <w:rFonts w:hint="eastAsia" w:ascii="宋体" w:hAnsi="宋体" w:eastAsia="宋体" w:cs="宋体"/>
                <w:b w:val="0"/>
                <w:bCs w:val="0"/>
                <w:sz w:val="18"/>
                <w:szCs w:val="18"/>
                <w:lang w:val="en-US" w:eastAsia="zh-CN"/>
              </w:rPr>
              <w:t xml:space="preserve"> 高级工程师</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黄靖彬</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：贺州市勘查测绘院</w:t>
            </w:r>
            <w:r>
              <w:rPr>
                <w:rFonts w:hint="eastAsia" w:ascii="宋体" w:hAnsi="宋体" w:eastAsia="宋体" w:cs="宋体"/>
                <w:b w:val="0"/>
                <w:bCs w:val="0"/>
                <w:sz w:val="18"/>
                <w:szCs w:val="18"/>
                <w:lang w:val="en-US" w:eastAsia="zh-CN"/>
              </w:rPr>
              <w:t xml:space="preserve"> 高级工程师</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陈典高</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：贺州学院</w:t>
            </w:r>
            <w:r>
              <w:rPr>
                <w:rFonts w:hint="eastAsia" w:ascii="宋体" w:hAnsi="宋体" w:eastAsia="宋体" w:cs="宋体"/>
                <w:b w:val="0"/>
                <w:bCs w:val="0"/>
                <w:sz w:val="18"/>
                <w:szCs w:val="18"/>
                <w:lang w:val="en-US" w:eastAsia="zh-CN"/>
              </w:rPr>
              <w:t xml:space="preserve"> 副教授</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广西壮族自治区财政厅关于提前下达2021年自然资源领域资金预算的通知桂财资环〔2020〕96号文件下达市本级地质灾害专项资金175万元，用于开展地质灾害防治相关工作。</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2.项目内容。编制贺州市17处拟治理地质灾害隐患点勘察设计。</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3.资金用途及目的。支付《贺17处拟治理地质灾害隐患点勘察设计》编制费用。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1.项目资金（包括财政资金、自筹资金等）安排落实、总投入等情况分析。</w:t>
      </w:r>
      <w:r>
        <w:rPr>
          <w:rFonts w:hint="eastAsia" w:ascii="仿宋_GB2312" w:hAnsi="仿宋_GB2312" w:eastAsia="仿宋_GB2312" w:cs="仿宋_GB2312"/>
          <w:sz w:val="32"/>
          <w:szCs w:val="32"/>
          <w:lang w:eastAsia="zh-CN"/>
        </w:rPr>
        <w:t>年初预算数为</w:t>
      </w:r>
      <w:r>
        <w:rPr>
          <w:rFonts w:hint="eastAsia" w:ascii="仿宋_GB2312" w:hAnsi="仿宋_GB2312" w:eastAsia="仿宋_GB2312" w:cs="仿宋_GB2312"/>
          <w:sz w:val="32"/>
          <w:szCs w:val="32"/>
          <w:lang w:val="en-US" w:eastAsia="zh-CN"/>
        </w:rPr>
        <w:t>123.877万元，全年预算数为118.447万元（全部为自治区财政资金）。</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2.项目资金（主要是指财政资金）实际使用情况分析，包括预算执行率、项目预算结余或超支情况。</w:t>
      </w:r>
      <w:r>
        <w:rPr>
          <w:rFonts w:hint="eastAsia" w:ascii="仿宋_GB2312" w:hAnsi="仿宋_GB2312" w:eastAsia="仿宋_GB2312" w:cs="仿宋_GB2312"/>
          <w:sz w:val="32"/>
          <w:szCs w:val="32"/>
          <w:lang w:eastAsia="zh-CN"/>
        </w:rPr>
        <w:t>共支付</w:t>
      </w:r>
      <w:r>
        <w:rPr>
          <w:rFonts w:hint="eastAsia" w:ascii="仿宋_GB2312" w:hAnsi="仿宋_GB2312" w:eastAsia="仿宋_GB2312" w:cs="仿宋_GB2312"/>
          <w:sz w:val="32"/>
          <w:szCs w:val="32"/>
          <w:lang w:val="en-US" w:eastAsia="zh-CN"/>
        </w:rPr>
        <w:t>金额为118.447万元，结余5.437元，预算执行率为95.61%。</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3.项目资金管理情况（包括管理制度、办法的制订及执行情况）分析。</w:t>
      </w:r>
      <w:r>
        <w:rPr>
          <w:rFonts w:hint="eastAsia" w:ascii="仿宋_GB2312" w:hAnsi="仿宋_GB2312" w:eastAsia="仿宋_GB2312" w:cs="仿宋_GB2312"/>
          <w:sz w:val="32"/>
          <w:szCs w:val="32"/>
          <w:lang w:eastAsia="zh-CN"/>
        </w:rPr>
        <w:t>按照项目推进情况及合同约定的程序，并按不超过全年预算金额支付给编制单位。</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4.项目资金支出及拨付合规性分析。</w:t>
      </w:r>
      <w:r>
        <w:rPr>
          <w:rFonts w:hint="eastAsia" w:ascii="仿宋_GB2312" w:hAnsi="仿宋_GB2312" w:eastAsia="仿宋_GB2312" w:cs="仿宋_GB2312"/>
          <w:sz w:val="32"/>
          <w:szCs w:val="32"/>
          <w:lang w:eastAsia="zh-CN"/>
        </w:rPr>
        <w:t>按照采购合同约定，规划文本通过专家评审可以按程序支付给编制单位</w:t>
      </w:r>
      <w:r>
        <w:rPr>
          <w:rFonts w:hint="eastAsia" w:ascii="仿宋_GB2312" w:hAnsi="仿宋_GB2312" w:eastAsia="仿宋_GB2312" w:cs="仿宋_GB2312"/>
          <w:sz w:val="32"/>
          <w:szCs w:val="32"/>
          <w:lang w:val="en-US" w:eastAsia="zh-CN"/>
        </w:rPr>
        <w:t>118.447万元</w:t>
      </w:r>
      <w:r>
        <w:rPr>
          <w:rFonts w:hint="eastAsia" w:ascii="仿宋_GB2312" w:hAnsi="仿宋_GB2312" w:eastAsia="仿宋_GB2312" w:cs="仿宋_GB2312"/>
          <w:sz w:val="32"/>
          <w:szCs w:val="32"/>
          <w:lang w:eastAsia="zh-CN"/>
        </w:rPr>
        <w:t>，支付程序符合规定。</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1.项目组织情况（</w:t>
      </w:r>
      <w:r>
        <w:rPr>
          <w:rFonts w:hint="eastAsia" w:ascii="仿宋_GB2312" w:hAnsi="仿宋_GB2312" w:eastAsia="仿宋_GB2312" w:cs="仿宋_GB2312"/>
          <w:sz w:val="32"/>
          <w:szCs w:val="32"/>
          <w:lang w:eastAsia="zh-CN"/>
        </w:rPr>
        <w:t>包括项目实施主体、项目实施计划及主要内容、项目招投标情况、项目调整情况、项目实施过程及进度、项目完工验收和质量等）。项目实施主体是广西壮族自治区地质环境监测站和中国建筑材料工业地质勘查中心广西总队项目是按照合同约定的内容开展的，编制单位按规定提交</w:t>
      </w:r>
      <w:r>
        <w:rPr>
          <w:rFonts w:hint="eastAsia" w:ascii="仿宋_GB2312" w:hAnsi="仿宋_GB2312" w:eastAsia="仿宋_GB2312" w:cs="仿宋_GB2312"/>
          <w:b w:val="0"/>
          <w:bCs w:val="0"/>
          <w:sz w:val="32"/>
          <w:szCs w:val="32"/>
          <w:lang w:val="en-US" w:eastAsia="zh-CN"/>
        </w:rPr>
        <w:t>《17处拟治理地质灾害隐患点勘察设计》送审稿，我局组织相关部门及专家组对文本内容进行了评审，最终达到要求评审通过。</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2.项目管理情况（包括项目管理制度建设、日常检查监督管理、日常绩效运行监控开展等情况）。根据已签订的采购合同，编制单位必须按照约定时间节点和要求完成该编制工作。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（1）数量指标：按要求提供整套规划文本材料（满分20分，得20分）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（2）质量指标：规划文本通过专家评审。（满分20分，得20分）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（3）时效指标：在规定时限内提交文本送审稿。（满分10分，得10分）</w:t>
      </w:r>
      <w:bookmarkStart w:id="0" w:name="_GoBack"/>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（1）社会效益：为贺州市地质灾害治理工程提供有力的实施保障。（满分30分，得30分）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2.满意度</w:t>
      </w:r>
      <w:r>
        <w:rPr>
          <w:rFonts w:hint="eastAsia" w:ascii="仿宋_GB2312" w:hAnsi="仿宋_GB2312" w:eastAsia="仿宋_GB2312" w:cs="仿宋_GB2312"/>
          <w:b w:val="0"/>
          <w:bCs w:val="0"/>
          <w:sz w:val="32"/>
          <w:szCs w:val="32"/>
          <w:lang w:val="en-US" w:eastAsia="zh-CN"/>
        </w:rPr>
        <w:t>（满分10分，得10分）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（1）群众满意度指标：群众对该规划的编制满意度达到90%以上。（满分10分，得10分）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主要是对项目完成后，后续政策、资金、人员机构安排和管理措施等影响项目持续发展的因素进行分析。包括项目的生命周期、发展潜力、营运管理、未来预期收入、政府支持、行业前景等影响项目可持续性的情况分析。</w:t>
      </w:r>
      <w:r>
        <w:rPr>
          <w:rFonts w:hint="eastAsia" w:ascii="仿宋_GB2312" w:hAnsi="仿宋_GB2312" w:eastAsia="仿宋_GB2312" w:cs="仿宋_GB2312"/>
          <w:b w:val="0"/>
          <w:bCs w:val="0"/>
          <w:sz w:val="32"/>
          <w:szCs w:val="32"/>
          <w:lang w:val="en-US" w:eastAsia="zh-CN"/>
        </w:rPr>
        <w:t>《17处拟治理地质灾害隐患点勘察设计》的编制是指导我市落实实施地质灾害防治工作的重要抓手，可将成果向自治区及中央申报项目入库，获得治理经费。</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（四）项目绩效指标未完成原因分析。已完成。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自评总分多少？评价等级为何？总体的结论。</w:t>
      </w:r>
      <w:r>
        <w:rPr>
          <w:rFonts w:hint="eastAsia" w:ascii="仿宋_GB2312" w:hAnsi="仿宋_GB2312" w:eastAsia="仿宋_GB2312" w:cs="仿宋_GB2312"/>
          <w:sz w:val="32"/>
          <w:szCs w:val="32"/>
          <w:lang w:eastAsia="zh-CN"/>
        </w:rPr>
        <w:t>自评总分为</w:t>
      </w:r>
      <w:r>
        <w:rPr>
          <w:rFonts w:hint="eastAsia" w:ascii="仿宋_GB2312" w:hAnsi="仿宋_GB2312" w:eastAsia="仿宋_GB2312" w:cs="仿宋_GB2312"/>
          <w:sz w:val="32"/>
          <w:szCs w:val="32"/>
          <w:lang w:val="en-US" w:eastAsia="zh-CN"/>
        </w:rPr>
        <w:t>99.56分，等级为优。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（三）意见建议。</w:t>
      </w: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FangSong_GB2312">
    <w:altName w:val="仿宋_GB2312"/>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FZXBSJW--GB1-0">
    <w:altName w:val="宋体"/>
    <w:panose1 w:val="00000000000000000000"/>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3187706"/>
    <w:rsid w:val="09AC3A9C"/>
    <w:rsid w:val="09C21CCC"/>
    <w:rsid w:val="14D421C7"/>
    <w:rsid w:val="15485378"/>
    <w:rsid w:val="16C40A70"/>
    <w:rsid w:val="16F11180"/>
    <w:rsid w:val="18AF055F"/>
    <w:rsid w:val="1CA1514A"/>
    <w:rsid w:val="1D024DFC"/>
    <w:rsid w:val="1E8F183E"/>
    <w:rsid w:val="203F6352"/>
    <w:rsid w:val="2424631C"/>
    <w:rsid w:val="28DD7535"/>
    <w:rsid w:val="2976325C"/>
    <w:rsid w:val="2B1227DD"/>
    <w:rsid w:val="2D2C7B74"/>
    <w:rsid w:val="2D8D7C9C"/>
    <w:rsid w:val="2DC64C6A"/>
    <w:rsid w:val="2EBC29C4"/>
    <w:rsid w:val="31AE347F"/>
    <w:rsid w:val="32CD165C"/>
    <w:rsid w:val="343E588E"/>
    <w:rsid w:val="34416B1F"/>
    <w:rsid w:val="3D2F0EAB"/>
    <w:rsid w:val="3E4C4CEE"/>
    <w:rsid w:val="41C104B8"/>
    <w:rsid w:val="42D75E91"/>
    <w:rsid w:val="466F774E"/>
    <w:rsid w:val="4D3E2113"/>
    <w:rsid w:val="4ECD0705"/>
    <w:rsid w:val="509F7A23"/>
    <w:rsid w:val="50C145EF"/>
    <w:rsid w:val="52786F2C"/>
    <w:rsid w:val="5CB61589"/>
    <w:rsid w:val="6703068A"/>
    <w:rsid w:val="759077BF"/>
    <w:rsid w:val="773672AB"/>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2023-03-15T01:15:42Z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