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宋体" w:eastAsia="方正小标宋简体" w:cs="方正小标宋简体"/>
          <w:color w:val="auto"/>
          <w:sz w:val="44"/>
          <w:szCs w:val="44"/>
          <w:highlight w:val="none"/>
        </w:rPr>
        <w:t>回拨市县耕地开垦费</w:t>
      </w:r>
      <w:r>
        <w:rPr>
          <w:rFonts w:hint="eastAsia" w:ascii="方正小标宋简体" w:hAnsi="方正小标宋简体" w:eastAsia="方正小标宋简体" w:cs="方正小标宋简体"/>
          <w:sz w:val="52"/>
          <w:szCs w:val="52"/>
        </w:rPr>
        <w:t>项目支出绩效</w:t>
      </w: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项目名称：</w:t>
      </w:r>
      <w:r>
        <w:rPr>
          <w:rFonts w:hint="eastAsia" w:ascii="宋体" w:hAnsi="宋体" w:cs="宋体"/>
          <w:color w:val="auto"/>
          <w:sz w:val="30"/>
          <w:szCs w:val="30"/>
          <w:highlight w:val="none"/>
        </w:rPr>
        <w:t>回拨市县耕地开垦费</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color w:val="auto"/>
          <w:sz w:val="30"/>
          <w:szCs w:val="30"/>
          <w:highlight w:val="none"/>
          <w:lang w:val="en-US" w:eastAsia="zh-CN"/>
        </w:rPr>
        <w:t>贺州市国土整治中心</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color w:val="auto"/>
          <w:sz w:val="30"/>
          <w:szCs w:val="30"/>
          <w:highlight w:val="none"/>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default" w:ascii="Arial" w:hAnsi="Arial" w:eastAsia="宋体" w:cs="Arial"/>
          <w:sz w:val="30"/>
          <w:szCs w:val="30"/>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default" w:ascii="Arial" w:hAnsi="Arial" w:eastAsia="宋体" w:cs="Arial"/>
          <w:sz w:val="30"/>
          <w:szCs w:val="30"/>
        </w:rPr>
        <w:t>√</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3</w:t>
      </w:r>
      <w:r>
        <w:rPr>
          <w:rFonts w:hint="eastAsia" w:ascii="宋体" w:hAnsi="宋体" w:eastAsia="宋体" w:cs="宋体"/>
          <w:sz w:val="32"/>
          <w:szCs w:val="32"/>
        </w:rPr>
        <w:t>月</w:t>
      </w:r>
      <w:r>
        <w:rPr>
          <w:rFonts w:hint="eastAsia" w:hAnsi="宋体" w:eastAsia="宋体" w:cs="宋体"/>
          <w:sz w:val="32"/>
          <w:szCs w:val="32"/>
          <w:lang w:val="en-US" w:eastAsia="zh-CN"/>
        </w:rPr>
        <w:t>2</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cs="宋体"/>
                <w:color w:val="auto"/>
                <w:sz w:val="30"/>
                <w:szCs w:val="30"/>
                <w:highlight w:val="none"/>
              </w:rPr>
              <w:t>回拨市县耕地开垦费</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cs="宋体"/>
                <w:color w:val="auto"/>
                <w:sz w:val="18"/>
                <w:szCs w:val="18"/>
                <w:highlight w:val="none"/>
              </w:rPr>
              <w:t>梁树达</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rPr>
            </w:pPr>
            <w:r>
              <w:rPr>
                <w:rFonts w:hint="eastAsia" w:ascii="宋体" w:hAnsi="宋体" w:cs="宋体"/>
                <w:color w:val="auto"/>
                <w:sz w:val="18"/>
                <w:szCs w:val="18"/>
                <w:highlight w:val="none"/>
                <w:lang w:val="en-US" w:eastAsia="zh-CN"/>
              </w:rPr>
              <w:t>5685553</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cs="宋体"/>
                <w:color w:val="auto"/>
                <w:sz w:val="18"/>
                <w:szCs w:val="18"/>
                <w:highlight w:val="none"/>
              </w:rPr>
              <w:t>贺财建函［2019］78号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rPr>
            </w:pPr>
            <w:r>
              <w:rPr>
                <w:rFonts w:hint="eastAsia" w:ascii="宋体" w:hAnsi="宋体" w:cs="宋体"/>
                <w:color w:val="auto"/>
                <w:sz w:val="18"/>
                <w:szCs w:val="18"/>
                <w:highlight w:val="none"/>
                <w:lang w:val="en-US" w:eastAsia="zh-CN"/>
              </w:rPr>
              <w:t>2022</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cs="宋体"/>
                <w:color w:val="auto"/>
                <w:sz w:val="18"/>
                <w:szCs w:val="18"/>
                <w:highlight w:val="none"/>
              </w:rPr>
              <w:t>计划：</w:t>
            </w:r>
            <w:r>
              <w:rPr>
                <w:rFonts w:hint="eastAsia" w:ascii="宋体" w:hAnsi="宋体" w:cs="宋体"/>
                <w:color w:val="auto"/>
                <w:sz w:val="18"/>
                <w:szCs w:val="18"/>
                <w:highlight w:val="none"/>
                <w:lang w:eastAsia="zh-CN"/>
              </w:rPr>
              <w:t>2022</w:t>
            </w:r>
            <w:r>
              <w:rPr>
                <w:rFonts w:hint="eastAsia" w:ascii="宋体" w:hAnsi="宋体" w:cs="宋体"/>
                <w:color w:val="auto"/>
                <w:sz w:val="18"/>
                <w:szCs w:val="18"/>
                <w:highlight w:val="none"/>
              </w:rPr>
              <w:t>年1 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cs="宋体"/>
                <w:color w:val="auto"/>
                <w:sz w:val="18"/>
                <w:szCs w:val="18"/>
                <w:highlight w:val="none"/>
              </w:rPr>
              <w:t>计划：</w:t>
            </w:r>
            <w:r>
              <w:rPr>
                <w:rFonts w:hint="eastAsia" w:ascii="宋体" w:hAnsi="宋体" w:cs="宋体"/>
                <w:color w:val="auto"/>
                <w:sz w:val="18"/>
                <w:szCs w:val="18"/>
                <w:highlight w:val="none"/>
                <w:lang w:eastAsia="zh-CN"/>
              </w:rPr>
              <w:t>2022</w:t>
            </w:r>
            <w:r>
              <w:rPr>
                <w:rFonts w:hint="eastAsia" w:ascii="宋体" w:hAnsi="宋体" w:cs="宋体"/>
                <w:color w:val="auto"/>
                <w:sz w:val="18"/>
                <w:szCs w:val="18"/>
                <w:highlight w:val="none"/>
              </w:rPr>
              <w:t>年12月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cs="宋体"/>
                <w:color w:val="auto"/>
                <w:sz w:val="18"/>
                <w:szCs w:val="18"/>
                <w:highlight w:val="none"/>
              </w:rPr>
              <w:t>计划：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cs="宋体"/>
                <w:color w:val="auto"/>
                <w:sz w:val="18"/>
                <w:szCs w:val="18"/>
                <w:highlight w:val="none"/>
              </w:rPr>
              <w:t>计划：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1个；  其中：市本级 1个，县（区） 0个。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仿宋_GB2312" w:hAnsi="仿宋_GB2312" w:eastAsia="仿宋_GB2312" w:cs="仿宋_GB2312"/>
                <w:color w:val="auto"/>
                <w:sz w:val="24"/>
                <w:highlight w:val="none"/>
              </w:rPr>
              <w:t>关于贺州市八步区莲塘镇上寺村工矿废弃地复垦项目实施方案的批复（贺国土资函〔2017〕164号）</w:t>
            </w:r>
            <w:r>
              <w:rPr>
                <w:rFonts w:hint="eastAsia" w:ascii="仿宋_GB2312" w:hAnsi="仿宋_GB2312" w:eastAsia="仿宋_GB2312" w:cs="仿宋_GB2312"/>
                <w:color w:val="auto"/>
                <w:sz w:val="24"/>
                <w:highlight w:val="none"/>
                <w:lang w:eastAsia="zh-CN"/>
              </w:rPr>
              <w:t>等</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1452.8</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307.52</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21.17</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307.52</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21.17</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莲塘工矿废弃地复垦项目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186.59</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贺财建﹝2021﹞3号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莲塘上寺村工矿废弃复垦项目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18.69</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贺财建﹝2021﹞3号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贺州市耕地后备资源等潜力调查工作</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12.4</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贺财建﹝2021﹞3号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沙田小凉河土地整治项目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26.96</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贺财建﹝2021﹞3号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莲塘镇工矿废弃地复垦项目拆旧区土地复垦工程款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14.36</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贺财建﹝2021﹞3号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cs="宋体"/>
                <w:color w:val="auto"/>
                <w:sz w:val="18"/>
                <w:szCs w:val="18"/>
                <w:highlight w:val="none"/>
              </w:rPr>
              <w:t>姓名：赖庆文</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cs="宋体"/>
                <w:color w:val="auto"/>
                <w:sz w:val="18"/>
                <w:szCs w:val="18"/>
                <w:highlight w:val="none"/>
              </w:rPr>
              <w:t>单位和职务：贺州市自然资源局副局长</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cs="宋体"/>
                <w:color w:val="auto"/>
                <w:sz w:val="18"/>
                <w:szCs w:val="18"/>
                <w:highlight w:val="none"/>
              </w:rPr>
              <w:t>姓名：梁树达</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cs="宋体"/>
                <w:color w:val="auto"/>
                <w:sz w:val="18"/>
                <w:szCs w:val="18"/>
                <w:highlight w:val="none"/>
              </w:rPr>
              <w:t>单位和职务：贺州市自然资源局国土整治中心主任</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cs="宋体"/>
                <w:color w:val="auto"/>
                <w:sz w:val="18"/>
                <w:szCs w:val="18"/>
                <w:highlight w:val="none"/>
              </w:rPr>
              <w:t>姓名：朱光斌</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cs="宋体"/>
                <w:color w:val="auto"/>
                <w:sz w:val="18"/>
                <w:szCs w:val="18"/>
                <w:highlight w:val="none"/>
              </w:rPr>
              <w:t>单位和职务：贺州市自然资源局财务科科长</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为促进建设用地节约集约，同时缓解耕地占补平衡压力，2015年国土资源部下发《国土资源部关于印发&lt;历史遗留工矿废弃地复垦利用试点管理办法&gt;的通知》（国土资规[2015]1号），鼓励各市县申请开展历史遗留工矿废弃地复垦利用试点。</w:t>
      </w:r>
    </w:p>
    <w:p>
      <w:pPr>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《广西壮族自治区国土资源厅关于下达我区2015年度工矿废弃地复垦利用计划的通知》（桂国土资发[2015]74号）：“同意将贺州市纳入工矿废弃地复垦利用试点市，并下达贺州市工矿废弃地复垦利用指标490亩。” 随后，贺州市国土资源局启动了废弃地复垦利用工作会议，并组织相关技术人员对废弃地进行踏勘选片，最终决定对贺州市八步区莲塘镇上寺村和贺州市平桂管理区黄田镇新村村两个村的废弃工矿用地进行复垦。</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该项目年度调整预算</w:t>
      </w:r>
      <w:r>
        <w:rPr>
          <w:rFonts w:hint="eastAsia" w:ascii="仿宋_GB2312" w:hAnsi="仿宋_GB2312" w:eastAsia="仿宋_GB2312" w:cs="仿宋_GB2312"/>
          <w:sz w:val="32"/>
          <w:szCs w:val="32"/>
          <w:lang w:val="en-US" w:eastAsia="zh-CN"/>
        </w:rPr>
        <w:t>1452.8万元，调整后预算数1452.8万元，全年预算执行数307.52万元，预算执行率21.17%。该项目当年支付莲塘工矿废弃地复垦、沙田小凉河土地整治、莲塘上寺村工矿废弃复垦等项目项目资金共12笔，支付资金共307.52万元。</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八步区莲塘镇上寺村废弃工矿用地进行复垦项目于2018年3月开工建设，目前</w:t>
      </w:r>
      <w:r>
        <w:rPr>
          <w:rFonts w:hint="eastAsia" w:ascii="仿宋_GB2312" w:hAnsi="仿宋_GB2312" w:eastAsia="仿宋_GB2312" w:cs="仿宋_GB2312"/>
          <w:color w:val="auto"/>
          <w:sz w:val="32"/>
          <w:szCs w:val="32"/>
          <w:highlight w:val="none"/>
          <w:lang w:eastAsia="zh-CN"/>
        </w:rPr>
        <w:t>完成项目验收</w:t>
      </w:r>
      <w:r>
        <w:rPr>
          <w:rFonts w:hint="eastAsia" w:ascii="仿宋_GB2312" w:hAnsi="仿宋_GB2312" w:eastAsia="仿宋_GB2312" w:cs="仿宋_GB2312"/>
          <w:color w:val="auto"/>
          <w:sz w:val="32"/>
          <w:szCs w:val="32"/>
          <w:highlight w:val="none"/>
        </w:rPr>
        <w:t>。</w:t>
      </w:r>
    </w:p>
    <w:p>
      <w:pPr>
        <w:pStyle w:val="2"/>
        <w:spacing w:line="560" w:lineRule="exact"/>
        <w:ind w:firstLine="643" w:firstLineChars="200"/>
        <w:rPr>
          <w:rFonts w:hint="eastAsia" w:ascii="仿宋_GB2312" w:hAnsi="仿宋_GB2312" w:eastAsia="仿宋_GB2312" w:cs="楷体_GB2312"/>
          <w:b/>
          <w:bCs/>
          <w:color w:val="auto"/>
          <w:sz w:val="32"/>
          <w:szCs w:val="32"/>
          <w:highlight w:val="none"/>
        </w:rPr>
      </w:pPr>
      <w:r>
        <w:rPr>
          <w:rFonts w:hint="eastAsia" w:ascii="仿宋_GB2312" w:hAnsi="仿宋_GB2312" w:eastAsia="仿宋_GB2312" w:cs="楷体_GB2312"/>
          <w:b/>
          <w:bCs/>
          <w:color w:val="auto"/>
          <w:sz w:val="32"/>
          <w:szCs w:val="32"/>
          <w:highlight w:val="none"/>
        </w:rPr>
        <w:t>（一）投入（满分6分，得6分）</w:t>
      </w:r>
    </w:p>
    <w:p>
      <w:pPr>
        <w:spacing w:line="540" w:lineRule="exact"/>
        <w:ind w:firstLine="675"/>
        <w:rPr>
          <w:rFonts w:ascii="仿宋_GB2312" w:hAnsi="仿宋" w:eastAsia="仿宋_GB2312" w:cs="仿宋_GB2312"/>
          <w:color w:val="auto"/>
          <w:sz w:val="32"/>
          <w:szCs w:val="32"/>
          <w:highlight w:val="none"/>
        </w:rPr>
      </w:pPr>
      <w:r>
        <w:rPr>
          <w:rFonts w:hint="eastAsia" w:ascii="仿宋_GB2312" w:hAnsi="仿宋" w:eastAsia="仿宋_GB2312" w:cs="仿宋_GB2312"/>
          <w:color w:val="auto"/>
          <w:spacing w:val="-34"/>
          <w:sz w:val="32"/>
          <w:szCs w:val="32"/>
          <w:highlight w:val="none"/>
        </w:rPr>
        <w:t>1.项目设立有据可依（如有政策文件规定或市领导批示等），与国家、自治区、市相关政策相符（满分4分，得4分）；</w:t>
      </w:r>
    </w:p>
    <w:p>
      <w:pPr>
        <w:spacing w:line="560" w:lineRule="exact"/>
        <w:ind w:firstLine="675"/>
        <w:rPr>
          <w:rFonts w:ascii="仿宋_GB2312" w:hAnsi="仿宋_GB2312" w:eastAsia="仿宋_GB2312" w:cs="仿宋_GB2312"/>
          <w:color w:val="auto"/>
          <w:sz w:val="32"/>
          <w:szCs w:val="32"/>
          <w:highlight w:val="none"/>
        </w:rPr>
      </w:pPr>
      <w:r>
        <w:rPr>
          <w:rFonts w:hint="eastAsia" w:ascii="仿宋_GB2312" w:hAnsi="仿宋" w:eastAsia="仿宋_GB2312" w:cs="仿宋_GB2312"/>
          <w:color w:val="auto"/>
          <w:sz w:val="32"/>
          <w:szCs w:val="32"/>
          <w:highlight w:val="none"/>
        </w:rPr>
        <w:t>2.项目具体明确，合理可行，且资金结构合理的（满分2分，得2分）；</w:t>
      </w:r>
    </w:p>
    <w:p>
      <w:pPr>
        <w:pStyle w:val="2"/>
        <w:spacing w:line="560" w:lineRule="exact"/>
        <w:ind w:firstLine="643" w:firstLineChars="200"/>
        <w:rPr>
          <w:rFonts w:hint="eastAsia" w:ascii="仿宋_GB2312" w:hAnsi="仿宋_GB2312" w:eastAsia="仿宋_GB2312" w:cs="楷体_GB2312"/>
          <w:b/>
          <w:bCs/>
          <w:color w:val="auto"/>
          <w:sz w:val="32"/>
          <w:szCs w:val="32"/>
          <w:highlight w:val="none"/>
        </w:rPr>
      </w:pPr>
      <w:r>
        <w:rPr>
          <w:rFonts w:hint="eastAsia" w:ascii="仿宋_GB2312" w:hAnsi="仿宋_GB2312" w:eastAsia="仿宋_GB2312" w:cs="楷体_GB2312"/>
          <w:b/>
          <w:bCs/>
          <w:color w:val="auto"/>
          <w:sz w:val="32"/>
          <w:szCs w:val="32"/>
          <w:highlight w:val="none"/>
        </w:rPr>
        <w:t>（二）过程（满分40分，得40分）</w:t>
      </w:r>
    </w:p>
    <w:p>
      <w:pPr>
        <w:pStyle w:val="2"/>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1.项目管理</w:t>
      </w:r>
    </w:p>
    <w:p>
      <w:pPr>
        <w:pStyle w:val="2"/>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（1）管理制度健全，制定项目管理办法或有可参照执行的项目管理办法，且项目管理办法合法、合规、完整。（满分2分，得2分）</w:t>
      </w:r>
    </w:p>
    <w:p>
      <w:pPr>
        <w:pStyle w:val="2"/>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（2）制度执行有效度（满分5分，得5分）</w:t>
      </w:r>
    </w:p>
    <w:p>
      <w:pPr>
        <w:pStyle w:val="2"/>
        <w:numPr>
          <w:ilvl w:val="0"/>
          <w:numId w:val="1"/>
        </w:numPr>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Adobe 黑体 Std R" w:eastAsia="仿宋_GB2312" w:cs="仿宋_GB2312"/>
          <w:color w:val="auto"/>
          <w:sz w:val="32"/>
          <w:szCs w:val="32"/>
          <w:highlight w:val="none"/>
        </w:rPr>
        <w:t>项目质量可控度</w:t>
      </w:r>
      <w:r>
        <w:rPr>
          <w:rFonts w:hint="eastAsia" w:ascii="仿宋_GB2312" w:hAnsi="仿宋_GB2312" w:eastAsia="仿宋_GB2312" w:cs="仿宋_GB2312"/>
          <w:color w:val="auto"/>
          <w:sz w:val="32"/>
          <w:szCs w:val="32"/>
          <w:highlight w:val="none"/>
        </w:rPr>
        <w:t>（满分3分，得3分）</w:t>
      </w:r>
    </w:p>
    <w:p>
      <w:pPr>
        <w:pStyle w:val="2"/>
        <w:spacing w:line="560" w:lineRule="exact"/>
        <w:ind w:left="0" w:leftChars="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具有相应的质量管控制度，且执行良好；并按规定对项目进行检查。</w:t>
      </w:r>
    </w:p>
    <w:p>
      <w:pPr>
        <w:pStyle w:val="2"/>
        <w:spacing w:line="560" w:lineRule="exact"/>
        <w:ind w:left="0" w:leftChars="0" w:firstLine="0" w:firstLineChars="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（4）档案管理完整性（满分3分，得3分）</w:t>
      </w:r>
    </w:p>
    <w:p>
      <w:pPr>
        <w:pStyle w:val="2"/>
        <w:spacing w:line="560" w:lineRule="exact"/>
        <w:ind w:left="0" w:leftChars="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档案管理规范，各项档案资料完整。</w:t>
      </w:r>
    </w:p>
    <w:p>
      <w:pPr>
        <w:pStyle w:val="2"/>
        <w:spacing w:line="560" w:lineRule="exact"/>
        <w:ind w:left="0" w:leftChars="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2.资金管理制度</w:t>
      </w:r>
    </w:p>
    <w:p>
      <w:pPr>
        <w:pStyle w:val="2"/>
        <w:spacing w:line="560" w:lineRule="exact"/>
        <w:ind w:left="420" w:left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（1）管理制度健全度（满分5分，得5分）</w:t>
      </w:r>
    </w:p>
    <w:p>
      <w:pPr>
        <w:pStyle w:val="2"/>
        <w:spacing w:line="560" w:lineRule="exact"/>
        <w:ind w:left="0" w:leftChars="0" w:firstLine="640" w:firstLineChars="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资金管理制度健全，且经费使用合理的，投入有保障。</w:t>
      </w:r>
    </w:p>
    <w:p>
      <w:pPr>
        <w:pStyle w:val="2"/>
        <w:spacing w:line="560" w:lineRule="exact"/>
        <w:ind w:left="0" w:leftChars="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（2）资金到位率100%（满分5分，得5分）</w:t>
      </w:r>
    </w:p>
    <w:p>
      <w:pPr>
        <w:pStyle w:val="2"/>
        <w:spacing w:line="560" w:lineRule="exact"/>
        <w:ind w:left="0" w:leftChars="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（3）资金分配规范性（满分3分，得3分）</w:t>
      </w:r>
    </w:p>
    <w:p>
      <w:pPr>
        <w:pStyle w:val="2"/>
        <w:spacing w:line="560" w:lineRule="exact"/>
        <w:ind w:left="0" w:leftChars="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建立或具有资金管理办法，对资金分配进行规范。</w:t>
      </w:r>
    </w:p>
    <w:p>
      <w:pPr>
        <w:pStyle w:val="2"/>
        <w:tabs>
          <w:tab w:val="left" w:pos="1538"/>
        </w:tabs>
        <w:spacing w:line="560" w:lineRule="exact"/>
        <w:ind w:left="0" w:leftChars="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（4）资金支出规范性（满分6分，得6分）</w:t>
      </w:r>
    </w:p>
    <w:p>
      <w:pPr>
        <w:pStyle w:val="2"/>
        <w:spacing w:line="560" w:lineRule="exact"/>
        <w:ind w:left="0" w:leftChars="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该项目资金支付履行审批程序和手续，资金管理、费用标准、支付对象等按部门预算批复的内容实施。</w:t>
      </w:r>
    </w:p>
    <w:p>
      <w:pPr>
        <w:pStyle w:val="2"/>
        <w:spacing w:line="560" w:lineRule="exact"/>
        <w:ind w:left="0" w:leftChars="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（5）会计核算规范（满分3分，得3分）</w:t>
      </w:r>
    </w:p>
    <w:p>
      <w:pPr>
        <w:pStyle w:val="2"/>
        <w:spacing w:line="560" w:lineRule="exact"/>
        <w:ind w:left="0" w:leftChars="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3.预算绩效自评管理</w:t>
      </w:r>
    </w:p>
    <w:p>
      <w:pPr>
        <w:pStyle w:val="2"/>
        <w:spacing w:line="560" w:lineRule="exact"/>
        <w:ind w:left="0" w:leftChars="0" w:firstLine="640" w:firstLineChars="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（1）按照财政部门要求开展自评工作（满分3分，得3分）。</w:t>
      </w:r>
    </w:p>
    <w:p>
      <w:pPr>
        <w:pStyle w:val="2"/>
        <w:spacing w:line="560" w:lineRule="exact"/>
        <w:ind w:left="0" w:leftChars="0" w:firstLine="640" w:firstLineChars="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（2）自评材料报送情况（满分2分，得2分）。</w:t>
      </w:r>
    </w:p>
    <w:p>
      <w:pPr>
        <w:pStyle w:val="2"/>
        <w:spacing w:line="560" w:lineRule="exact"/>
        <w:ind w:left="0" w:leftChars="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目前已按照财政部门要求及时提供完整的项目自评材料。</w:t>
      </w:r>
    </w:p>
    <w:p>
      <w:pPr>
        <w:pStyle w:val="2"/>
        <w:numPr>
          <w:ilvl w:val="0"/>
          <w:numId w:val="0"/>
        </w:numPr>
        <w:spacing w:line="560" w:lineRule="exact"/>
        <w:rPr>
          <w:rFonts w:hint="eastAsia" w:ascii="仿宋_GB2312" w:hAnsi="仿宋_GB2312" w:eastAsia="仿宋_GB2312" w:cs="楷体_GB2312"/>
          <w:b/>
          <w:bCs/>
          <w:color w:val="auto"/>
          <w:sz w:val="32"/>
          <w:szCs w:val="32"/>
          <w:highlight w:val="none"/>
        </w:rPr>
      </w:pPr>
      <w:r>
        <w:rPr>
          <w:rFonts w:hint="eastAsia" w:ascii="仿宋_GB2312" w:hAnsi="仿宋_GB2312" w:eastAsia="仿宋_GB2312" w:cs="楷体_GB2312"/>
          <w:b/>
          <w:bCs/>
          <w:color w:val="auto"/>
          <w:sz w:val="32"/>
          <w:szCs w:val="32"/>
          <w:highlight w:val="none"/>
          <w:lang w:val="en-US" w:eastAsia="zh-CN"/>
        </w:rPr>
        <w:t xml:space="preserve">    （三）</w:t>
      </w:r>
      <w:r>
        <w:rPr>
          <w:rFonts w:hint="eastAsia" w:ascii="仿宋_GB2312" w:hAnsi="仿宋_GB2312" w:eastAsia="仿宋_GB2312" w:cs="楷体_GB2312"/>
          <w:b/>
          <w:bCs/>
          <w:color w:val="auto"/>
          <w:sz w:val="32"/>
          <w:szCs w:val="32"/>
          <w:highlight w:val="none"/>
        </w:rPr>
        <w:t>产出（满分30分，得</w:t>
      </w:r>
      <w:r>
        <w:rPr>
          <w:rFonts w:hint="eastAsia" w:ascii="仿宋_GB2312" w:hAnsi="仿宋_GB2312" w:eastAsia="仿宋_GB2312" w:cs="楷体_GB2312"/>
          <w:b/>
          <w:bCs/>
          <w:color w:val="auto"/>
          <w:sz w:val="32"/>
          <w:szCs w:val="32"/>
          <w:highlight w:val="none"/>
          <w:lang w:val="en-US" w:eastAsia="zh-CN"/>
        </w:rPr>
        <w:t>30</w:t>
      </w:r>
      <w:r>
        <w:rPr>
          <w:rFonts w:hint="eastAsia" w:ascii="仿宋_GB2312" w:hAnsi="仿宋_GB2312" w:eastAsia="仿宋_GB2312" w:cs="楷体_GB2312"/>
          <w:b/>
          <w:bCs/>
          <w:color w:val="auto"/>
          <w:sz w:val="32"/>
          <w:szCs w:val="32"/>
          <w:highlight w:val="none"/>
        </w:rPr>
        <w:t>分）</w:t>
      </w:r>
    </w:p>
    <w:p>
      <w:pPr>
        <w:pStyle w:val="2"/>
        <w:spacing w:line="560" w:lineRule="exact"/>
        <w:ind w:left="0" w:leftChars="0" w:firstLine="640" w:firstLineChars="200"/>
        <w:rPr>
          <w:rFonts w:hint="eastAsia" w:ascii="仿宋_GB2312" w:hAnsi="仿宋_GB2312" w:eastAsia="仿宋_GB2312" w:cs="楷体_GB2312"/>
          <w:b/>
          <w:bCs/>
          <w:color w:val="auto"/>
          <w:sz w:val="32"/>
          <w:szCs w:val="32"/>
          <w:highlight w:val="none"/>
        </w:rPr>
      </w:pPr>
      <w:r>
        <w:rPr>
          <w:rFonts w:hint="eastAsia" w:ascii="仿宋_GB2312" w:hAnsi="仿宋_GB2312" w:eastAsia="仿宋_GB2312" w:cs="楷体_GB2312"/>
          <w:b w:val="0"/>
          <w:bCs w:val="0"/>
          <w:color w:val="auto"/>
          <w:sz w:val="32"/>
          <w:szCs w:val="32"/>
          <w:highlight w:val="none"/>
        </w:rPr>
        <w:t>1.产出数量</w:t>
      </w:r>
      <w:r>
        <w:rPr>
          <w:rFonts w:hint="eastAsia" w:ascii="仿宋_GB2312" w:hAnsi="仿宋_GB2312" w:eastAsia="仿宋_GB2312" w:cs="楷体_GB2312"/>
          <w:b/>
          <w:bCs/>
          <w:color w:val="auto"/>
          <w:sz w:val="32"/>
          <w:szCs w:val="32"/>
          <w:highlight w:val="none"/>
        </w:rPr>
        <w:t>（满分</w:t>
      </w:r>
      <w:r>
        <w:rPr>
          <w:rFonts w:hint="eastAsia" w:ascii="仿宋_GB2312" w:hAnsi="仿宋_GB2312" w:eastAsia="仿宋_GB2312" w:cs="楷体_GB2312"/>
          <w:b/>
          <w:bCs/>
          <w:color w:val="auto"/>
          <w:sz w:val="32"/>
          <w:szCs w:val="32"/>
          <w:highlight w:val="none"/>
          <w:lang w:val="en-US" w:eastAsia="zh-CN"/>
        </w:rPr>
        <w:t>20</w:t>
      </w:r>
      <w:r>
        <w:rPr>
          <w:rFonts w:hint="eastAsia" w:ascii="仿宋_GB2312" w:hAnsi="仿宋_GB2312" w:eastAsia="仿宋_GB2312" w:cs="楷体_GB2312"/>
          <w:b/>
          <w:bCs/>
          <w:color w:val="auto"/>
          <w:sz w:val="32"/>
          <w:szCs w:val="32"/>
          <w:highlight w:val="none"/>
        </w:rPr>
        <w:t>分，得</w:t>
      </w:r>
      <w:r>
        <w:rPr>
          <w:rFonts w:hint="eastAsia" w:ascii="仿宋_GB2312" w:hAnsi="仿宋_GB2312" w:eastAsia="仿宋_GB2312" w:cs="楷体_GB2312"/>
          <w:b/>
          <w:bCs/>
          <w:color w:val="auto"/>
          <w:sz w:val="32"/>
          <w:szCs w:val="32"/>
          <w:highlight w:val="none"/>
          <w:lang w:val="en-US" w:eastAsia="zh-CN"/>
        </w:rPr>
        <w:t>20</w:t>
      </w:r>
      <w:r>
        <w:rPr>
          <w:rFonts w:hint="eastAsia" w:ascii="仿宋_GB2312" w:hAnsi="仿宋_GB2312" w:eastAsia="仿宋_GB2312" w:cs="楷体_GB2312"/>
          <w:b/>
          <w:bCs/>
          <w:color w:val="auto"/>
          <w:sz w:val="32"/>
          <w:szCs w:val="32"/>
          <w:highlight w:val="none"/>
        </w:rPr>
        <w:t>分）</w:t>
      </w:r>
    </w:p>
    <w:p>
      <w:pPr>
        <w:pStyle w:val="2"/>
        <w:spacing w:line="560" w:lineRule="exact"/>
        <w:ind w:left="0"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完成工矿废弃地复垦任务，项目进度为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p>
      <w:pPr>
        <w:pStyle w:val="2"/>
        <w:numPr>
          <w:ilvl w:val="0"/>
          <w:numId w:val="0"/>
        </w:numPr>
        <w:spacing w:line="560" w:lineRule="exact"/>
        <w:rPr>
          <w:rFonts w:hint="eastAsia" w:ascii="仿宋_GB2312" w:hAnsi="仿宋_GB2312" w:eastAsia="仿宋_GB2312" w:cs="楷体_GB2312"/>
          <w:b/>
          <w:bCs/>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    2.</w:t>
      </w:r>
      <w:r>
        <w:rPr>
          <w:rFonts w:hint="eastAsia" w:ascii="仿宋_GB2312" w:hAnsi="仿宋_GB2312" w:eastAsia="仿宋_GB2312" w:cs="仿宋_GB2312"/>
          <w:color w:val="auto"/>
          <w:sz w:val="32"/>
          <w:szCs w:val="32"/>
          <w:highlight w:val="none"/>
        </w:rPr>
        <w:t>产出质量</w:t>
      </w:r>
      <w:r>
        <w:rPr>
          <w:rFonts w:hint="eastAsia" w:ascii="仿宋_GB2312" w:hAnsi="仿宋_GB2312" w:eastAsia="仿宋_GB2312" w:cs="楷体_GB2312"/>
          <w:b/>
          <w:bCs/>
          <w:color w:val="auto"/>
          <w:sz w:val="32"/>
          <w:szCs w:val="32"/>
          <w:highlight w:val="none"/>
        </w:rPr>
        <w:t>（满分</w:t>
      </w:r>
      <w:r>
        <w:rPr>
          <w:rFonts w:hint="eastAsia" w:ascii="仿宋_GB2312" w:hAnsi="仿宋_GB2312" w:eastAsia="仿宋_GB2312" w:cs="楷体_GB2312"/>
          <w:b/>
          <w:bCs/>
          <w:color w:val="auto"/>
          <w:sz w:val="32"/>
          <w:szCs w:val="32"/>
          <w:highlight w:val="none"/>
          <w:lang w:val="en-US" w:eastAsia="zh-CN"/>
        </w:rPr>
        <w:t>10</w:t>
      </w:r>
      <w:r>
        <w:rPr>
          <w:rFonts w:hint="eastAsia" w:ascii="仿宋_GB2312" w:hAnsi="仿宋_GB2312" w:eastAsia="仿宋_GB2312" w:cs="楷体_GB2312"/>
          <w:b/>
          <w:bCs/>
          <w:color w:val="auto"/>
          <w:sz w:val="32"/>
          <w:szCs w:val="32"/>
          <w:highlight w:val="none"/>
        </w:rPr>
        <w:t>分，得</w:t>
      </w:r>
      <w:r>
        <w:rPr>
          <w:rFonts w:hint="eastAsia" w:ascii="仿宋_GB2312" w:hAnsi="仿宋_GB2312" w:eastAsia="仿宋_GB2312" w:cs="楷体_GB2312"/>
          <w:b/>
          <w:bCs/>
          <w:color w:val="auto"/>
          <w:sz w:val="32"/>
          <w:szCs w:val="32"/>
          <w:highlight w:val="none"/>
          <w:lang w:val="en-US" w:eastAsia="zh-CN"/>
        </w:rPr>
        <w:t>10</w:t>
      </w:r>
      <w:r>
        <w:rPr>
          <w:rFonts w:hint="eastAsia" w:ascii="仿宋_GB2312" w:hAnsi="仿宋_GB2312" w:eastAsia="仿宋_GB2312" w:cs="楷体_GB2312"/>
          <w:b/>
          <w:bCs/>
          <w:color w:val="auto"/>
          <w:sz w:val="32"/>
          <w:szCs w:val="32"/>
          <w:highlight w:val="none"/>
        </w:rPr>
        <w:t>分）</w:t>
      </w:r>
    </w:p>
    <w:p>
      <w:pPr>
        <w:pStyle w:val="2"/>
        <w:spacing w:line="560" w:lineRule="exact"/>
        <w:ind w:left="0" w:leftChars="0"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项目验收</w:t>
      </w:r>
      <w:r>
        <w:rPr>
          <w:rFonts w:hint="eastAsia" w:ascii="仿宋_GB2312" w:hAnsi="仿宋_GB2312" w:eastAsia="仿宋_GB2312" w:cs="仿宋_GB2312"/>
          <w:color w:val="auto"/>
          <w:sz w:val="32"/>
          <w:szCs w:val="32"/>
          <w:highlight w:val="none"/>
          <w:lang w:eastAsia="zh-CN"/>
        </w:rPr>
        <w:t>已完成</w:t>
      </w:r>
    </w:p>
    <w:p>
      <w:pPr>
        <w:pStyle w:val="2"/>
        <w:numPr>
          <w:ilvl w:val="0"/>
          <w:numId w:val="0"/>
        </w:numPr>
        <w:spacing w:line="560" w:lineRule="exact"/>
        <w:rPr>
          <w:rFonts w:hint="eastAsia" w:ascii="仿宋_GB2312" w:hAnsi="仿宋_GB2312" w:eastAsia="仿宋_GB2312" w:cs="楷体_GB2312"/>
          <w:b/>
          <w:bCs/>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    3.</w:t>
      </w:r>
      <w:r>
        <w:rPr>
          <w:rFonts w:hint="eastAsia" w:ascii="仿宋_GB2312" w:hAnsi="仿宋_GB2312" w:eastAsia="仿宋_GB2312" w:cs="仿宋_GB2312"/>
          <w:color w:val="auto"/>
          <w:sz w:val="32"/>
          <w:szCs w:val="32"/>
          <w:highlight w:val="none"/>
        </w:rPr>
        <w:t>产出时效</w:t>
      </w:r>
      <w:r>
        <w:rPr>
          <w:rFonts w:hint="eastAsia" w:ascii="仿宋_GB2312" w:hAnsi="仿宋_GB2312" w:eastAsia="仿宋_GB2312" w:cs="楷体_GB2312"/>
          <w:b/>
          <w:bCs/>
          <w:color w:val="auto"/>
          <w:sz w:val="32"/>
          <w:szCs w:val="32"/>
          <w:highlight w:val="none"/>
        </w:rPr>
        <w:t>（满分</w:t>
      </w:r>
      <w:r>
        <w:rPr>
          <w:rFonts w:hint="eastAsia" w:ascii="仿宋_GB2312" w:hAnsi="仿宋_GB2312" w:eastAsia="仿宋_GB2312" w:cs="楷体_GB2312"/>
          <w:b/>
          <w:bCs/>
          <w:color w:val="auto"/>
          <w:sz w:val="32"/>
          <w:szCs w:val="32"/>
          <w:highlight w:val="none"/>
          <w:lang w:val="en-US" w:eastAsia="zh-CN"/>
        </w:rPr>
        <w:t>10</w:t>
      </w:r>
      <w:r>
        <w:rPr>
          <w:rFonts w:hint="eastAsia" w:ascii="仿宋_GB2312" w:hAnsi="仿宋_GB2312" w:eastAsia="仿宋_GB2312" w:cs="楷体_GB2312"/>
          <w:b/>
          <w:bCs/>
          <w:color w:val="auto"/>
          <w:sz w:val="32"/>
          <w:szCs w:val="32"/>
          <w:highlight w:val="none"/>
        </w:rPr>
        <w:t>分，得</w:t>
      </w:r>
      <w:r>
        <w:rPr>
          <w:rFonts w:hint="eastAsia" w:ascii="仿宋_GB2312" w:hAnsi="仿宋_GB2312" w:eastAsia="仿宋_GB2312" w:cs="楷体_GB2312"/>
          <w:b/>
          <w:bCs/>
          <w:color w:val="auto"/>
          <w:sz w:val="32"/>
          <w:szCs w:val="32"/>
          <w:highlight w:val="none"/>
          <w:lang w:val="en-US" w:eastAsia="zh-CN"/>
        </w:rPr>
        <w:t>10</w:t>
      </w:r>
      <w:r>
        <w:rPr>
          <w:rFonts w:hint="eastAsia" w:ascii="仿宋_GB2312" w:hAnsi="仿宋_GB2312" w:eastAsia="仿宋_GB2312" w:cs="楷体_GB2312"/>
          <w:b/>
          <w:bCs/>
          <w:color w:val="auto"/>
          <w:sz w:val="32"/>
          <w:szCs w:val="32"/>
          <w:highlight w:val="none"/>
        </w:rPr>
        <w:t>分）</w:t>
      </w:r>
    </w:p>
    <w:p>
      <w:pPr>
        <w:pStyle w:val="2"/>
        <w:spacing w:line="560" w:lineRule="exact"/>
        <w:ind w:left="0"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2022</w:t>
      </w:r>
      <w:r>
        <w:rPr>
          <w:rFonts w:hint="eastAsia" w:ascii="仿宋_GB2312" w:hAnsi="仿宋_GB2312" w:eastAsia="仿宋_GB2312" w:cs="仿宋_GB2312"/>
          <w:color w:val="auto"/>
          <w:sz w:val="32"/>
          <w:szCs w:val="32"/>
          <w:highlight w:val="none"/>
        </w:rPr>
        <w:t>年项目在</w:t>
      </w:r>
      <w:r>
        <w:rPr>
          <w:rFonts w:hint="eastAsia" w:ascii="仿宋_GB2312" w:hAnsi="仿宋_GB2312" w:eastAsia="仿宋_GB2312" w:cs="仿宋_GB2312"/>
          <w:color w:val="auto"/>
          <w:sz w:val="32"/>
          <w:szCs w:val="32"/>
          <w:highlight w:val="none"/>
          <w:lang w:eastAsia="zh-CN"/>
        </w:rPr>
        <w:t>2022</w:t>
      </w:r>
      <w:r>
        <w:rPr>
          <w:rFonts w:hint="eastAsia" w:ascii="仿宋_GB2312" w:hAnsi="仿宋_GB2312" w:eastAsia="仿宋_GB2312" w:cs="仿宋_GB2312"/>
          <w:color w:val="auto"/>
          <w:sz w:val="32"/>
          <w:szCs w:val="32"/>
          <w:highlight w:val="none"/>
        </w:rPr>
        <w:t>年完工。</w:t>
      </w:r>
    </w:p>
    <w:p>
      <w:pPr>
        <w:pStyle w:val="2"/>
        <w:numPr>
          <w:ilvl w:val="0"/>
          <w:numId w:val="0"/>
        </w:numPr>
        <w:spacing w:line="560" w:lineRule="exact"/>
        <w:rPr>
          <w:rFonts w:hint="eastAsia" w:ascii="仿宋_GB2312" w:hAnsi="仿宋_GB2312" w:eastAsia="仿宋_GB2312" w:cs="楷体_GB2312"/>
          <w:b/>
          <w:bCs/>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    4.</w:t>
      </w:r>
      <w:r>
        <w:rPr>
          <w:rFonts w:hint="eastAsia" w:ascii="仿宋_GB2312" w:hAnsi="仿宋_GB2312" w:eastAsia="仿宋_GB2312" w:cs="仿宋_GB2312"/>
          <w:color w:val="auto"/>
          <w:sz w:val="32"/>
          <w:szCs w:val="32"/>
          <w:highlight w:val="none"/>
        </w:rPr>
        <w:t>产出成本</w:t>
      </w:r>
      <w:r>
        <w:rPr>
          <w:rFonts w:hint="eastAsia" w:ascii="仿宋_GB2312" w:hAnsi="仿宋_GB2312" w:eastAsia="仿宋_GB2312" w:cs="楷体_GB2312"/>
          <w:b/>
          <w:bCs/>
          <w:color w:val="auto"/>
          <w:sz w:val="32"/>
          <w:szCs w:val="32"/>
          <w:highlight w:val="none"/>
        </w:rPr>
        <w:t>（满分</w:t>
      </w:r>
      <w:r>
        <w:rPr>
          <w:rFonts w:hint="eastAsia" w:ascii="仿宋_GB2312" w:hAnsi="仿宋_GB2312" w:eastAsia="仿宋_GB2312" w:cs="楷体_GB2312"/>
          <w:b/>
          <w:bCs/>
          <w:color w:val="auto"/>
          <w:sz w:val="32"/>
          <w:szCs w:val="32"/>
          <w:highlight w:val="none"/>
          <w:lang w:val="en-US" w:eastAsia="zh-CN"/>
        </w:rPr>
        <w:t>10</w:t>
      </w:r>
      <w:r>
        <w:rPr>
          <w:rFonts w:hint="eastAsia" w:ascii="仿宋_GB2312" w:hAnsi="仿宋_GB2312" w:eastAsia="仿宋_GB2312" w:cs="楷体_GB2312"/>
          <w:b/>
          <w:bCs/>
          <w:color w:val="auto"/>
          <w:sz w:val="32"/>
          <w:szCs w:val="32"/>
          <w:highlight w:val="none"/>
        </w:rPr>
        <w:t>分，得</w:t>
      </w:r>
      <w:r>
        <w:rPr>
          <w:rFonts w:hint="eastAsia" w:ascii="仿宋_GB2312" w:hAnsi="仿宋_GB2312" w:eastAsia="仿宋_GB2312" w:cs="楷体_GB2312"/>
          <w:b/>
          <w:bCs/>
          <w:color w:val="auto"/>
          <w:sz w:val="32"/>
          <w:szCs w:val="32"/>
          <w:highlight w:val="none"/>
          <w:lang w:val="en-US" w:eastAsia="zh-CN"/>
        </w:rPr>
        <w:t>10</w:t>
      </w:r>
      <w:r>
        <w:rPr>
          <w:rFonts w:hint="eastAsia" w:ascii="仿宋_GB2312" w:hAnsi="仿宋_GB2312" w:eastAsia="仿宋_GB2312" w:cs="楷体_GB2312"/>
          <w:b/>
          <w:bCs/>
          <w:color w:val="auto"/>
          <w:sz w:val="32"/>
          <w:szCs w:val="32"/>
          <w:highlight w:val="none"/>
        </w:rPr>
        <w:t>分）</w:t>
      </w:r>
    </w:p>
    <w:p>
      <w:pPr>
        <w:pStyle w:val="2"/>
        <w:spacing w:line="560" w:lineRule="exact"/>
        <w:ind w:left="0" w:leftChars="0" w:firstLine="640" w:firstLineChars="200"/>
        <w:rPr>
          <w:rFonts w:hint="eastAsia" w:ascii="仿宋_GB2312" w:hAnsi="仿宋_GB2312" w:eastAsia="仿宋_GB2312" w:cs="楷体_GB2312"/>
          <w:b/>
          <w:bCs/>
          <w:color w:val="auto"/>
          <w:sz w:val="32"/>
          <w:szCs w:val="32"/>
          <w:highlight w:val="none"/>
        </w:rPr>
      </w:pPr>
      <w:r>
        <w:rPr>
          <w:rFonts w:hint="eastAsia" w:ascii="仿宋_GB2312" w:hAnsi="仿宋_GB2312" w:eastAsia="仿宋_GB2312" w:cs="仿宋_GB2312"/>
          <w:color w:val="auto"/>
          <w:sz w:val="32"/>
          <w:szCs w:val="32"/>
          <w:highlight w:val="none"/>
        </w:rPr>
        <w:t>投资总成本不超3614.22万元，实际工程施工费、工程监理费</w:t>
      </w:r>
      <w:r>
        <w:rPr>
          <w:rFonts w:hint="eastAsia" w:ascii="仿宋_GB2312" w:hAnsi="仿宋_GB2312" w:eastAsia="仿宋_GB2312"/>
          <w:color w:val="auto"/>
          <w:sz w:val="32"/>
          <w:szCs w:val="32"/>
          <w:highlight w:val="none"/>
        </w:rPr>
        <w:t>等项目共支出</w:t>
      </w:r>
      <w:r>
        <w:rPr>
          <w:rFonts w:hint="eastAsia" w:ascii="仿宋_GB2312" w:hAnsi="仿宋_GB2312" w:eastAsia="仿宋_GB2312"/>
          <w:color w:val="auto"/>
          <w:sz w:val="32"/>
          <w:szCs w:val="32"/>
          <w:highlight w:val="none"/>
          <w:lang w:val="en-US" w:eastAsia="zh-CN"/>
        </w:rPr>
        <w:t>608.14</w:t>
      </w:r>
      <w:r>
        <w:rPr>
          <w:rFonts w:hint="eastAsia" w:ascii="仿宋_GB2312" w:hAnsi="仿宋_GB2312" w:eastAsia="仿宋_GB2312"/>
          <w:color w:val="auto"/>
          <w:sz w:val="32"/>
          <w:szCs w:val="32"/>
          <w:highlight w:val="none"/>
        </w:rPr>
        <w:t>万元</w:t>
      </w:r>
      <w:r>
        <w:rPr>
          <w:rFonts w:hint="eastAsia" w:ascii="仿宋_GB2312" w:hAnsi="仿宋_GB2312" w:eastAsia="仿宋_GB2312" w:cs="楷体_GB2312"/>
          <w:b/>
          <w:bCs/>
          <w:color w:val="auto"/>
          <w:sz w:val="32"/>
          <w:szCs w:val="32"/>
          <w:highlight w:val="none"/>
        </w:rPr>
        <w:t>。</w:t>
      </w:r>
    </w:p>
    <w:p>
      <w:pPr>
        <w:pStyle w:val="2"/>
        <w:numPr>
          <w:ilvl w:val="0"/>
          <w:numId w:val="0"/>
        </w:numPr>
        <w:spacing w:line="560" w:lineRule="exact"/>
        <w:rPr>
          <w:rFonts w:hint="eastAsia" w:ascii="仿宋_GB2312" w:hAnsi="仿宋_GB2312" w:eastAsia="仿宋_GB2312" w:cs="楷体_GB2312"/>
          <w:b/>
          <w:bCs/>
          <w:color w:val="auto"/>
          <w:sz w:val="32"/>
          <w:szCs w:val="32"/>
          <w:highlight w:val="none"/>
        </w:rPr>
      </w:pPr>
      <w:r>
        <w:rPr>
          <w:rFonts w:hint="eastAsia" w:ascii="仿宋_GB2312" w:hAnsi="仿宋_GB2312" w:eastAsia="仿宋_GB2312" w:cs="楷体_GB2312"/>
          <w:b/>
          <w:bCs/>
          <w:color w:val="auto"/>
          <w:sz w:val="32"/>
          <w:szCs w:val="32"/>
          <w:highlight w:val="none"/>
          <w:lang w:val="en-US" w:eastAsia="zh-CN"/>
        </w:rPr>
        <w:t xml:space="preserve">    （四）</w:t>
      </w:r>
      <w:r>
        <w:rPr>
          <w:rFonts w:hint="eastAsia" w:ascii="仿宋_GB2312" w:hAnsi="仿宋_GB2312" w:eastAsia="仿宋_GB2312" w:cs="楷体_GB2312"/>
          <w:b/>
          <w:bCs/>
          <w:color w:val="auto"/>
          <w:sz w:val="32"/>
          <w:szCs w:val="32"/>
          <w:highlight w:val="none"/>
        </w:rPr>
        <w:t>效果（满分</w:t>
      </w:r>
      <w:r>
        <w:rPr>
          <w:rFonts w:hint="eastAsia" w:ascii="仿宋_GB2312" w:hAnsi="仿宋_GB2312" w:eastAsia="仿宋_GB2312" w:cs="楷体_GB2312"/>
          <w:b/>
          <w:bCs/>
          <w:color w:val="auto"/>
          <w:sz w:val="32"/>
          <w:szCs w:val="32"/>
          <w:highlight w:val="none"/>
          <w:lang w:val="en-US" w:eastAsia="zh-CN"/>
        </w:rPr>
        <w:t>30</w:t>
      </w:r>
      <w:r>
        <w:rPr>
          <w:rFonts w:hint="eastAsia" w:ascii="仿宋_GB2312" w:hAnsi="仿宋_GB2312" w:eastAsia="仿宋_GB2312" w:cs="楷体_GB2312"/>
          <w:b/>
          <w:bCs/>
          <w:color w:val="auto"/>
          <w:sz w:val="32"/>
          <w:szCs w:val="32"/>
          <w:highlight w:val="none"/>
        </w:rPr>
        <w:t>分，得</w:t>
      </w:r>
      <w:r>
        <w:rPr>
          <w:rFonts w:hint="eastAsia" w:ascii="仿宋_GB2312" w:hAnsi="仿宋_GB2312" w:eastAsia="仿宋_GB2312" w:cs="楷体_GB2312"/>
          <w:b/>
          <w:bCs/>
          <w:color w:val="auto"/>
          <w:sz w:val="32"/>
          <w:szCs w:val="32"/>
          <w:highlight w:val="none"/>
          <w:lang w:val="en-US" w:eastAsia="zh-CN"/>
        </w:rPr>
        <w:t>30</w:t>
      </w:r>
      <w:r>
        <w:rPr>
          <w:rFonts w:hint="eastAsia" w:ascii="仿宋_GB2312" w:hAnsi="仿宋_GB2312" w:eastAsia="仿宋_GB2312" w:cs="楷体_GB2312"/>
          <w:b/>
          <w:bCs/>
          <w:color w:val="auto"/>
          <w:sz w:val="32"/>
          <w:szCs w:val="32"/>
          <w:highlight w:val="none"/>
        </w:rPr>
        <w:t>分）</w:t>
      </w:r>
    </w:p>
    <w:p>
      <w:pPr>
        <w:spacing w:line="560" w:lineRule="exact"/>
        <w:ind w:left="0"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1.经济效益：项目实施后，可增加耕地面积新增水田23.0877 公顷；</w:t>
      </w:r>
    </w:p>
    <w:p>
      <w:pPr>
        <w:spacing w:line="560" w:lineRule="exact"/>
        <w:ind w:left="0" w:leftChars="0"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2.社会效益：</w:t>
      </w:r>
      <w:r>
        <w:rPr>
          <w:rFonts w:hint="eastAsia" w:ascii="仿宋_GB2312" w:hAnsi="仿宋_GB2312" w:eastAsia="仿宋_GB2312" w:cs="仿宋_GB2312"/>
          <w:color w:val="auto"/>
          <w:sz w:val="32"/>
          <w:szCs w:val="32"/>
          <w:highlight w:val="none"/>
        </w:rPr>
        <w:t>通过项目的实施促进采矿区环境治理恢复，改善区域环境；增加耕地面积，缓解耕地压力；优化土地利用结构和布局，缓解建设用地供需矛盾，项目区群众增产增收</w:t>
      </w:r>
      <w:r>
        <w:rPr>
          <w:rFonts w:hint="eastAsia" w:ascii="仿宋_GB2312" w:hAnsi="仿宋_GB2312" w:eastAsia="仿宋_GB2312"/>
          <w:color w:val="auto"/>
          <w:sz w:val="32"/>
          <w:szCs w:val="32"/>
          <w:highlight w:val="none"/>
        </w:rPr>
        <w:t>，</w:t>
      </w:r>
      <w:r>
        <w:rPr>
          <w:rFonts w:hint="eastAsia" w:ascii="仿宋_GB2312" w:hAnsi="仿宋_GB2312" w:eastAsia="仿宋_GB2312" w:cs="仿宋_GB2312"/>
          <w:color w:val="auto"/>
          <w:sz w:val="32"/>
          <w:szCs w:val="32"/>
          <w:highlight w:val="none"/>
        </w:rPr>
        <w:t>达到设定的目标要求</w:t>
      </w:r>
      <w:r>
        <w:rPr>
          <w:rFonts w:hint="eastAsia" w:ascii="仿宋_GB2312" w:hAnsi="仿宋_GB2312" w:eastAsia="仿宋_GB2312"/>
          <w:color w:val="auto"/>
          <w:sz w:val="32"/>
          <w:szCs w:val="32"/>
          <w:highlight w:val="none"/>
        </w:rPr>
        <w:t>；</w:t>
      </w:r>
    </w:p>
    <w:p>
      <w:pPr>
        <w:spacing w:line="560" w:lineRule="exact"/>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lang w:val="en-US" w:eastAsia="zh-CN"/>
        </w:rPr>
        <w:t xml:space="preserve">    </w:t>
      </w:r>
      <w:r>
        <w:rPr>
          <w:rFonts w:hint="eastAsia" w:ascii="仿宋_GB2312" w:hAnsi="仿宋_GB2312" w:eastAsia="仿宋_GB2312"/>
          <w:color w:val="auto"/>
          <w:spacing w:val="-17"/>
          <w:sz w:val="32"/>
          <w:szCs w:val="32"/>
          <w:highlight w:val="none"/>
        </w:rPr>
        <w:t>3.生态效益：项目实施后，将使区内生态环境大大改善，完善的生态系统是防止和减少自然灾害的屏障。通过复垦，使项目区提高了抵御自然灾害的能力，并且使生态环境得到了改善，资源利用趋向良性循环，使土地、水、气候等资源得到合理利用，增强了农业发展后劲。</w:t>
      </w:r>
      <w:r>
        <w:rPr>
          <w:rFonts w:hint="eastAsia" w:ascii="仿宋_GB2312" w:hAnsi="仿宋_GB2312" w:eastAsia="仿宋_GB2312" w:cs="仿宋_GB2312"/>
          <w:color w:val="auto"/>
          <w:spacing w:val="-17"/>
          <w:sz w:val="32"/>
          <w:szCs w:val="32"/>
          <w:highlight w:val="none"/>
        </w:rPr>
        <w:t>达到设定的目标要求</w:t>
      </w:r>
      <w:r>
        <w:rPr>
          <w:rFonts w:hint="eastAsia" w:ascii="仿宋_GB2312" w:hAnsi="仿宋_GB2312" w:eastAsia="仿宋_GB2312"/>
          <w:color w:val="auto"/>
          <w:spacing w:val="-17"/>
          <w:sz w:val="32"/>
          <w:szCs w:val="32"/>
          <w:highlight w:val="none"/>
        </w:rPr>
        <w:t>。</w:t>
      </w:r>
    </w:p>
    <w:p>
      <w:pPr>
        <w:spacing w:line="560" w:lineRule="exact"/>
        <w:ind w:left="0" w:leftChars="0"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4.可持续影响：项目实施后提供就业机会和粮食产能，</w:t>
      </w:r>
      <w:r>
        <w:rPr>
          <w:rFonts w:hint="eastAsia" w:ascii="仿宋_GB2312" w:hAnsi="仿宋_GB2312" w:eastAsia="仿宋_GB2312" w:cs="仿宋_GB2312"/>
          <w:color w:val="auto"/>
          <w:sz w:val="32"/>
          <w:szCs w:val="32"/>
          <w:highlight w:val="none"/>
        </w:rPr>
        <w:t>达到设定的目标要求</w:t>
      </w:r>
      <w:r>
        <w:rPr>
          <w:rFonts w:hint="eastAsia" w:ascii="仿宋_GB2312" w:hAnsi="仿宋_GB2312" w:eastAsia="仿宋_GB2312"/>
          <w:color w:val="auto"/>
          <w:sz w:val="32"/>
          <w:szCs w:val="32"/>
          <w:highlight w:val="none"/>
        </w:rPr>
        <w:t>；</w:t>
      </w:r>
    </w:p>
    <w:p>
      <w:pPr>
        <w:spacing w:line="560" w:lineRule="exact"/>
        <w:ind w:left="0" w:leftChars="0"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5.社会公众满意度：项目实施范围内群众无投诉。</w:t>
      </w:r>
    </w:p>
    <w:p>
      <w:pPr>
        <w:spacing w:line="560" w:lineRule="exact"/>
        <w:ind w:firstLine="643" w:firstLineChars="200"/>
        <w:rPr>
          <w:rFonts w:hint="eastAsia" w:ascii="仿宋_GB2312" w:hAnsi="仿宋_GB2312" w:eastAsia="仿宋_GB2312"/>
          <w:b/>
          <w:bCs/>
          <w:color w:val="auto"/>
          <w:sz w:val="32"/>
          <w:szCs w:val="32"/>
          <w:highlight w:val="none"/>
        </w:rPr>
      </w:pPr>
      <w:r>
        <w:rPr>
          <w:rFonts w:hint="eastAsia" w:ascii="仿宋_GB2312" w:hAnsi="仿宋_GB2312" w:eastAsia="仿宋_GB2312" w:cs="楷体_GB2312"/>
          <w:b/>
          <w:bCs/>
          <w:color w:val="auto"/>
          <w:sz w:val="32"/>
          <w:szCs w:val="32"/>
          <w:highlight w:val="none"/>
        </w:rPr>
        <w:t>（五）评价结果和评价结论</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总分</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分，自评总分</w:t>
      </w:r>
      <w:r>
        <w:rPr>
          <w:rFonts w:hint="eastAsia" w:ascii="仿宋_GB2312" w:hAnsi="仿宋_GB2312" w:eastAsia="仿宋_GB2312" w:cs="仿宋_GB2312"/>
          <w:color w:val="auto"/>
          <w:sz w:val="32"/>
          <w:szCs w:val="32"/>
          <w:highlight w:val="none"/>
          <w:lang w:val="en-US" w:eastAsia="zh-CN"/>
        </w:rPr>
        <w:t>92.12</w:t>
      </w:r>
      <w:bookmarkStart w:id="0" w:name="_GoBack"/>
      <w:bookmarkEnd w:id="0"/>
      <w:r>
        <w:rPr>
          <w:rFonts w:hint="eastAsia" w:ascii="仿宋_GB2312" w:hAnsi="仿宋_GB2312" w:eastAsia="仿宋_GB2312" w:cs="仿宋_GB2312"/>
          <w:color w:val="auto"/>
          <w:sz w:val="32"/>
          <w:szCs w:val="32"/>
          <w:highlight w:val="none"/>
        </w:rPr>
        <w:t>分，评价等级优秀。通过项目的实施促进采矿区环境治理恢复，改善区域环境；增加耕地面积，缓解耕地压力；优化土地利用结构和布局，缓解建设用地供需矛盾，项目区群众增产增收。</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（二）存在问题及原因分析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（三）意见建议。</w:t>
      </w: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四、其他需要说明的问题</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AC3A9C"/>
    <w:rsid w:val="09C21CCC"/>
    <w:rsid w:val="0DED476A"/>
    <w:rsid w:val="14D421C7"/>
    <w:rsid w:val="15485378"/>
    <w:rsid w:val="16F11180"/>
    <w:rsid w:val="18AF055F"/>
    <w:rsid w:val="1D024DFC"/>
    <w:rsid w:val="1E566A3A"/>
    <w:rsid w:val="203F6352"/>
    <w:rsid w:val="2424631C"/>
    <w:rsid w:val="28DD7535"/>
    <w:rsid w:val="2B1227DD"/>
    <w:rsid w:val="2D2C7B74"/>
    <w:rsid w:val="2D8D7C9C"/>
    <w:rsid w:val="2DC64C6A"/>
    <w:rsid w:val="2EBC29C4"/>
    <w:rsid w:val="31AE347F"/>
    <w:rsid w:val="32CD165C"/>
    <w:rsid w:val="34416B1F"/>
    <w:rsid w:val="3D2F0EAB"/>
    <w:rsid w:val="3E4C4CEE"/>
    <w:rsid w:val="41C104B8"/>
    <w:rsid w:val="42D75E91"/>
    <w:rsid w:val="4D3E2113"/>
    <w:rsid w:val="4ECD0705"/>
    <w:rsid w:val="509F7A23"/>
    <w:rsid w:val="52786F2C"/>
    <w:rsid w:val="6703068A"/>
    <w:rsid w:val="759077BF"/>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2023-03-14T07:58:35Z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