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ascii="宋体" w:hAnsi="宋体" w:eastAsia="宋体" w:cs="宋体"/>
          <w:sz w:val="32"/>
          <w:szCs w:val="32"/>
        </w:rPr>
      </w:pPr>
      <w:r>
        <w:rPr>
          <w:rFonts w:hint="eastAsia" w:ascii="宋体" w:hAnsi="宋体" w:eastAsia="宋体" w:cs="宋体"/>
          <w:sz w:val="32"/>
          <w:szCs w:val="32"/>
        </w:rPr>
        <w:t>附件3</w:t>
      </w:r>
    </w:p>
    <w:p>
      <w:pPr>
        <w:ind w:right="85"/>
        <w:rPr>
          <w:rFonts w:cs="Times New Roman"/>
          <w:b/>
          <w:bCs/>
          <w:sz w:val="40"/>
          <w:szCs w:val="40"/>
        </w:rPr>
      </w:pPr>
    </w:p>
    <w:p>
      <w:pPr>
        <w:ind w:right="85"/>
        <w:rPr>
          <w:rFonts w:cs="Times New Roman"/>
          <w:b/>
          <w:bCs/>
          <w:sz w:val="40"/>
          <w:szCs w:val="40"/>
        </w:rPr>
      </w:pPr>
    </w:p>
    <w:p>
      <w:pPr>
        <w:jc w:val="center"/>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《贺州市中心城区绿线划定专项规划》项目支出绩效自评报告</w:t>
      </w:r>
    </w:p>
    <w:p>
      <w:pPr>
        <w:rPr>
          <w:rFonts w:hAnsi="宋体"/>
        </w:rPr>
      </w:pP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 xml:space="preserve">项目名称：《贺州市中心城区绿线划定专项规划》    </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 xml:space="preserve">主管部门：贺州市自然资源局                         </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 xml:space="preserve">实施单位：贺州市自然资源局                       </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评价类型：事前评价□    事中评价□    事后评价☑</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组织方式：部门（单位）绩效自评</w:t>
      </w:r>
    </w:p>
    <w:p>
      <w:pPr>
        <w:pStyle w:val="2"/>
        <w:spacing w:line="560" w:lineRule="exact"/>
        <w:ind w:firstLine="600" w:firstLineChars="200"/>
        <w:rPr>
          <w:rFonts w:hAnsi="宋体" w:eastAsia="宋体" w:cs="宋体"/>
          <w:sz w:val="30"/>
          <w:szCs w:val="30"/>
        </w:rPr>
      </w:pPr>
      <w:r>
        <w:rPr>
          <w:rFonts w:hint="eastAsia" w:hAnsi="宋体" w:eastAsia="宋体" w:cs="宋体"/>
          <w:sz w:val="30"/>
          <w:szCs w:val="30"/>
        </w:rPr>
        <w:t xml:space="preserve">评价机构：项目单位评价组☑    中介机构□    专家组□   </w:t>
      </w:r>
    </w:p>
    <w:p>
      <w:pPr>
        <w:pStyle w:val="2"/>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p>
    <w:p>
      <w:pPr>
        <w:pStyle w:val="2"/>
        <w:spacing w:line="560" w:lineRule="exact"/>
        <w:rPr>
          <w:rFonts w:ascii="仿宋_GB2312" w:hAnsi="仿宋_GB2312" w:eastAsia="仿宋_GB2312" w:cs="仿宋_GB2312"/>
          <w:sz w:val="32"/>
          <w:szCs w:val="32"/>
        </w:rPr>
      </w:pPr>
    </w:p>
    <w:p>
      <w:pPr>
        <w:pStyle w:val="2"/>
        <w:spacing w:line="560" w:lineRule="exact"/>
        <w:jc w:val="center"/>
        <w:rPr>
          <w:rFonts w:hAnsi="宋体" w:eastAsia="宋体" w:cs="宋体"/>
          <w:sz w:val="32"/>
          <w:szCs w:val="32"/>
        </w:rPr>
      </w:pPr>
      <w:r>
        <w:rPr>
          <w:rFonts w:hint="eastAsia" w:hAnsi="宋体" w:eastAsia="宋体" w:cs="宋体"/>
          <w:sz w:val="30"/>
          <w:szCs w:val="30"/>
        </w:rPr>
        <w:t>贺州市自然资源局</w:t>
      </w:r>
    </w:p>
    <w:p>
      <w:pPr>
        <w:pStyle w:val="2"/>
        <w:spacing w:line="560" w:lineRule="exact"/>
        <w:jc w:val="center"/>
        <w:rPr>
          <w:rFonts w:hAnsi="宋体" w:eastAsia="宋体" w:cs="宋体"/>
          <w:sz w:val="32"/>
          <w:szCs w:val="32"/>
        </w:rPr>
      </w:pPr>
      <w:r>
        <w:rPr>
          <w:rFonts w:hint="eastAsia" w:hAnsi="宋体" w:eastAsia="宋体" w:cs="宋体"/>
          <w:sz w:val="32"/>
          <w:szCs w:val="32"/>
        </w:rPr>
        <w:t>2023年3月1</w:t>
      </w:r>
      <w:r>
        <w:rPr>
          <w:rFonts w:hint="eastAsia" w:hAnsi="宋体" w:eastAsia="宋体" w:cs="宋体"/>
          <w:sz w:val="32"/>
          <w:szCs w:val="32"/>
          <w:lang w:val="en-US" w:eastAsia="zh-CN"/>
        </w:rPr>
        <w:t>0</w:t>
      </w:r>
      <w:r>
        <w:rPr>
          <w:rFonts w:hint="eastAsia" w:hAnsi="宋体" w:eastAsia="宋体" w:cs="宋体"/>
          <w:sz w:val="32"/>
          <w:szCs w:val="32"/>
        </w:rPr>
        <w:t>日</w:t>
      </w:r>
    </w:p>
    <w:p>
      <w:pPr>
        <w:pStyle w:val="2"/>
        <w:spacing w:line="560" w:lineRule="exact"/>
        <w:jc w:val="center"/>
        <w:rPr>
          <w:rFonts w:ascii="仿宋_GB2312" w:hAnsi="仿宋_GB2312" w:eastAsia="仿宋_GB2312" w:cs="仿宋_GB2312"/>
          <w:sz w:val="32"/>
          <w:szCs w:val="32"/>
        </w:rPr>
      </w:pPr>
    </w:p>
    <w:p>
      <w:pPr>
        <w:pStyle w:val="2"/>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项目支出绩效自评基础信息表</w:t>
      </w:r>
    </w:p>
    <w:p>
      <w:pPr>
        <w:pStyle w:val="2"/>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0" w:type="dxa"/>
        <w:tblLayout w:type="fixed"/>
        <w:tblCellMar>
          <w:top w:w="0" w:type="dxa"/>
          <w:left w:w="108" w:type="dxa"/>
          <w:bottom w:w="0" w:type="dxa"/>
          <w:right w:w="108" w:type="dxa"/>
        </w:tblCellMar>
      </w:tblPr>
      <w:tblGrid>
        <w:gridCol w:w="314"/>
        <w:gridCol w:w="359"/>
        <w:gridCol w:w="510"/>
        <w:gridCol w:w="30"/>
        <w:gridCol w:w="615"/>
        <w:gridCol w:w="420"/>
        <w:gridCol w:w="578"/>
        <w:gridCol w:w="17"/>
        <w:gridCol w:w="368"/>
        <w:gridCol w:w="152"/>
        <w:gridCol w:w="310"/>
        <w:gridCol w:w="360"/>
        <w:gridCol w:w="141"/>
        <w:gridCol w:w="265"/>
        <w:gridCol w:w="698"/>
        <w:gridCol w:w="73"/>
        <w:gridCol w:w="303"/>
        <w:gridCol w:w="6"/>
        <w:gridCol w:w="533"/>
        <w:gridCol w:w="48"/>
        <w:gridCol w:w="379"/>
        <w:gridCol w:w="269"/>
        <w:gridCol w:w="315"/>
        <w:gridCol w:w="602"/>
        <w:gridCol w:w="361"/>
        <w:gridCol w:w="268"/>
        <w:gridCol w:w="446"/>
        <w:gridCol w:w="249"/>
        <w:gridCol w:w="115"/>
        <w:gridCol w:w="174"/>
        <w:gridCol w:w="674"/>
        <w:gridCol w:w="942"/>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ascii="Times New Roman" w:hAnsi="Times New Roman" w:eastAsia="黑体" w:cs="Times New Roman"/>
                <w:szCs w:val="21"/>
              </w:rPr>
              <w:t>1-1</w:t>
            </w:r>
            <w:r>
              <w:rPr>
                <w:rFonts w:hint="eastAsia" w:ascii="黑体" w:hAnsi="黑体" w:eastAsia="黑体" w:cs="黑体"/>
                <w:szCs w:val="21"/>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3" w:type="dxa"/>
            <w:gridSpan w:val="3"/>
            <w:tcBorders>
              <w:top w:val="nil"/>
              <w:left w:val="single" w:color="auto" w:sz="8" w:space="0"/>
              <w:bottom w:val="nil"/>
              <w:right w:val="single" w:color="000000" w:sz="8"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项目名称</w:t>
            </w:r>
          </w:p>
        </w:tc>
        <w:tc>
          <w:tcPr>
            <w:tcW w:w="9711" w:type="dxa"/>
            <w:gridSpan w:val="29"/>
            <w:tcBorders>
              <w:top w:val="nil"/>
              <w:left w:val="nil"/>
              <w:bottom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《贺州市中心城区绿线划定专项规划》</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w:t>
            </w:r>
          </w:p>
          <w:p>
            <w:pPr>
              <w:jc w:val="center"/>
              <w:rPr>
                <w:rFonts w:ascii="宋体" w:hAnsi="宋体" w:eastAsia="宋体" w:cs="宋体"/>
                <w:sz w:val="18"/>
                <w:szCs w:val="18"/>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刘显杯</w:t>
            </w:r>
          </w:p>
        </w:tc>
        <w:tc>
          <w:tcPr>
            <w:tcW w:w="960"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联系电话</w:t>
            </w:r>
          </w:p>
        </w:tc>
        <w:tc>
          <w:tcPr>
            <w:tcW w:w="4415" w:type="dxa"/>
            <w:gridSpan w:val="11"/>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cyan"/>
              </w:rPr>
            </w:pPr>
            <w:r>
              <w:rPr>
                <w:rFonts w:hint="eastAsia" w:ascii="宋体" w:hAnsi="宋体" w:eastAsia="宋体" w:cs="宋体"/>
                <w:sz w:val="18"/>
                <w:szCs w:val="18"/>
              </w:rPr>
              <w:t>18375401058</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项目资金</w:t>
            </w:r>
          </w:p>
          <w:p>
            <w:pPr>
              <w:jc w:val="center"/>
              <w:rPr>
                <w:rFonts w:ascii="宋体" w:hAnsi="宋体" w:eastAsia="宋体" w:cs="宋体"/>
                <w:sz w:val="18"/>
                <w:szCs w:val="18"/>
              </w:rPr>
            </w:pPr>
            <w:r>
              <w:rPr>
                <w:rFonts w:hint="eastAsia" w:ascii="宋体" w:hAnsi="宋体" w:eastAsia="宋体" w:cs="宋体"/>
                <w:sz w:val="18"/>
                <w:szCs w:val="18"/>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贺政函〔2022〕1号</w:t>
            </w:r>
          </w:p>
        </w:tc>
        <w:tc>
          <w:tcPr>
            <w:tcW w:w="960"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资金项目</w:t>
            </w:r>
          </w:p>
          <w:p>
            <w:pPr>
              <w:jc w:val="center"/>
              <w:rPr>
                <w:rFonts w:ascii="宋体" w:hAnsi="宋体" w:eastAsia="宋体" w:cs="宋体"/>
                <w:sz w:val="18"/>
                <w:szCs w:val="18"/>
              </w:rPr>
            </w:pPr>
            <w:r>
              <w:rPr>
                <w:rFonts w:hint="eastAsia" w:ascii="宋体" w:hAnsi="宋体" w:eastAsia="宋体" w:cs="宋体"/>
                <w:sz w:val="18"/>
                <w:szCs w:val="18"/>
              </w:rPr>
              <w:t>安排年度</w:t>
            </w:r>
          </w:p>
        </w:tc>
        <w:tc>
          <w:tcPr>
            <w:tcW w:w="4415" w:type="dxa"/>
            <w:gridSpan w:val="11"/>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highlight w:val="cyan"/>
              </w:rPr>
            </w:pPr>
            <w:r>
              <w:rPr>
                <w:rFonts w:hint="eastAsia" w:ascii="宋体" w:hAnsi="宋体" w:eastAsia="宋体" w:cs="宋体"/>
                <w:sz w:val="18"/>
                <w:szCs w:val="18"/>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项目类型</w:t>
            </w:r>
          </w:p>
        </w:tc>
        <w:tc>
          <w:tcPr>
            <w:tcW w:w="4336" w:type="dxa"/>
            <w:gridSpan w:val="15"/>
            <w:vMerge w:val="restart"/>
            <w:tcBorders>
              <w:top w:val="single" w:color="auto" w:sz="4" w:space="0"/>
              <w:left w:val="nil"/>
              <w:right w:val="single" w:color="auto" w:sz="4" w:space="0"/>
            </w:tcBorders>
            <w:vAlign w:val="center"/>
          </w:tcPr>
          <w:p>
            <w:pPr>
              <w:spacing w:line="360" w:lineRule="auto"/>
              <w:rPr>
                <w:rFonts w:ascii="宋体" w:hAnsi="宋体" w:eastAsia="宋体" w:cs="宋体"/>
                <w:sz w:val="18"/>
                <w:szCs w:val="18"/>
              </w:rPr>
            </w:pPr>
            <w:r>
              <w:rPr>
                <w:rFonts w:hint="eastAsia" w:ascii="宋体" w:hAnsi="宋体" w:eastAsia="宋体" w:cs="宋体"/>
                <w:sz w:val="18"/>
                <w:szCs w:val="18"/>
              </w:rPr>
              <w:t>1.基本建设类</w:t>
            </w:r>
            <w:r>
              <w:rPr>
                <w:rFonts w:hint="eastAsia" w:ascii="宋体" w:hAnsi="宋体" w:eastAsia="宋体" w:cs="宋体"/>
                <w:kern w:val="0"/>
                <w:sz w:val="18"/>
                <w:szCs w:val="18"/>
              </w:rPr>
              <w:t>□ 其中：新建□ 扩建□ 改建□</w:t>
            </w:r>
          </w:p>
          <w:p>
            <w:pPr>
              <w:spacing w:line="360" w:lineRule="auto"/>
              <w:rPr>
                <w:rFonts w:ascii="宋体" w:hAnsi="宋体" w:eastAsia="宋体" w:cs="宋体"/>
                <w:sz w:val="18"/>
                <w:szCs w:val="18"/>
              </w:rPr>
            </w:pPr>
            <w:r>
              <w:rPr>
                <w:rFonts w:hint="eastAsia" w:ascii="宋体" w:hAnsi="宋体" w:eastAsia="宋体" w:cs="宋体"/>
                <w:sz w:val="18"/>
                <w:szCs w:val="18"/>
              </w:rPr>
              <w:t>2.行政事业类□ 其中：采购□ 修缮□ 奖励/补贴□</w:t>
            </w:r>
          </w:p>
          <w:p>
            <w:pPr>
              <w:spacing w:line="360" w:lineRule="auto"/>
              <w:rPr>
                <w:rFonts w:ascii="宋体" w:hAnsi="宋体" w:eastAsia="宋体" w:cs="宋体"/>
                <w:sz w:val="18"/>
                <w:szCs w:val="18"/>
              </w:rPr>
            </w:pPr>
            <w:r>
              <w:rPr>
                <w:rFonts w:hint="eastAsia" w:ascii="宋体" w:hAnsi="宋体" w:eastAsia="宋体" w:cs="宋体"/>
                <w:sz w:val="18"/>
                <w:szCs w:val="18"/>
              </w:rPr>
              <w:t>3.其他项目类☑</w:t>
            </w:r>
          </w:p>
        </w:tc>
        <w:tc>
          <w:tcPr>
            <w:tcW w:w="960" w:type="dxa"/>
            <w:gridSpan w:val="3"/>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项目开</w:t>
            </w:r>
          </w:p>
          <w:p>
            <w:pPr>
              <w:jc w:val="center"/>
              <w:rPr>
                <w:rFonts w:ascii="宋体" w:hAnsi="宋体" w:eastAsia="宋体" w:cs="宋体"/>
                <w:sz w:val="18"/>
                <w:szCs w:val="18"/>
              </w:rPr>
            </w:pPr>
            <w:r>
              <w:rPr>
                <w:rFonts w:hint="eastAsia" w:ascii="宋体" w:hAnsi="宋体" w:eastAsia="宋体" w:cs="宋体"/>
                <w:sz w:val="18"/>
                <w:szCs w:val="18"/>
              </w:rPr>
              <w:t>始时间</w:t>
            </w: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计划：2017年9月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项目完成时间</w:t>
            </w:r>
          </w:p>
        </w:tc>
        <w:tc>
          <w:tcPr>
            <w:tcW w:w="179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计划：2023年12月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3"/>
            <w:vMerge w:val="continue"/>
            <w:tcBorders>
              <w:left w:val="nil"/>
              <w:bottom w:val="single" w:color="auto" w:sz="4" w:space="0"/>
              <w:right w:val="single" w:color="auto" w:sz="4" w:space="0"/>
            </w:tcBorders>
            <w:vAlign w:val="center"/>
          </w:tcPr>
          <w:p>
            <w:pPr>
              <w:jc w:val="center"/>
            </w:pP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1790"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计划：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资金项目</w:t>
            </w:r>
          </w:p>
          <w:p>
            <w:pPr>
              <w:jc w:val="center"/>
              <w:rPr>
                <w:rFonts w:ascii="宋体" w:hAnsi="宋体" w:eastAsia="宋体" w:cs="宋体"/>
                <w:sz w:val="18"/>
                <w:szCs w:val="18"/>
              </w:rPr>
            </w:pPr>
            <w:r>
              <w:rPr>
                <w:rFonts w:hint="eastAsia" w:ascii="宋体" w:hAnsi="宋体" w:eastAsia="宋体" w:cs="宋体"/>
                <w:sz w:val="18"/>
                <w:szCs w:val="18"/>
              </w:rPr>
              <w:t>安排年度</w:t>
            </w:r>
          </w:p>
          <w:p>
            <w:pPr>
              <w:jc w:val="center"/>
              <w:rPr>
                <w:rFonts w:ascii="宋体" w:hAnsi="宋体" w:eastAsia="宋体" w:cs="宋体"/>
                <w:sz w:val="18"/>
                <w:szCs w:val="18"/>
                <w:highlight w:val="cyan"/>
              </w:rPr>
            </w:pPr>
          </w:p>
          <w:p>
            <w:pPr>
              <w:rPr>
                <w:rFonts w:ascii="宋体" w:hAnsi="宋体" w:eastAsia="宋体" w:cs="宋体"/>
                <w:sz w:val="18"/>
                <w:szCs w:val="18"/>
              </w:rPr>
            </w:pPr>
            <w:r>
              <w:rPr>
                <w:rFonts w:hint="eastAsia" w:ascii="宋体" w:hAnsi="宋体" w:eastAsia="宋体" w:cs="宋体"/>
                <w:sz w:val="18"/>
                <w:szCs w:val="18"/>
              </w:rPr>
              <w:t xml:space="preserve"> 2.专家评审立项的项目□</w:t>
            </w:r>
          </w:p>
          <w:p>
            <w:r>
              <w:rPr>
                <w:rFonts w:hint="eastAsia" w:ascii="宋体" w:hAnsi="宋体" w:eastAsia="宋体" w:cs="宋体"/>
                <w:sz w:val="18"/>
                <w:szCs w:val="18"/>
              </w:rPr>
              <w:t>3.公开招标立项的项目□                               4.其他方式立项</w:t>
            </w:r>
          </w:p>
          <w:p>
            <w:pPr>
              <w:jc w:val="center"/>
              <w:rPr>
                <w:rFonts w:ascii="宋体" w:hAnsi="宋体" w:eastAsia="宋体" w:cs="宋体"/>
                <w:sz w:val="18"/>
                <w:szCs w:val="18"/>
              </w:rPr>
            </w:pPr>
            <w:r>
              <w:rPr>
                <w:rFonts w:hint="eastAsia" w:ascii="宋体" w:hAnsi="宋体" w:eastAsia="宋体" w:cs="宋体"/>
                <w:sz w:val="18"/>
                <w:szCs w:val="18"/>
              </w:rPr>
              <w:t>实际到位</w:t>
            </w:r>
          </w:p>
          <w:p>
            <w:pPr>
              <w:jc w:val="center"/>
              <w:rPr>
                <w:rFonts w:ascii="宋体" w:hAnsi="宋体" w:eastAsia="宋体" w:cs="宋体"/>
                <w:sz w:val="18"/>
                <w:szCs w:val="18"/>
              </w:rPr>
            </w:pPr>
            <w:r>
              <w:rPr>
                <w:rFonts w:hint="eastAsia" w:ascii="宋体" w:hAnsi="宋体" w:eastAsia="宋体" w:cs="宋体"/>
                <w:sz w:val="18"/>
                <w:szCs w:val="18"/>
              </w:rPr>
              <w:t>（到达项目单位）</w:t>
            </w:r>
          </w:p>
          <w:p>
            <w:pPr>
              <w:jc w:val="center"/>
              <w:rPr>
                <w:rFonts w:ascii="宋体" w:hAnsi="宋体" w:eastAsia="宋体" w:cs="宋体"/>
                <w:sz w:val="18"/>
                <w:szCs w:val="18"/>
              </w:rPr>
            </w:pPr>
            <w:r>
              <w:rPr>
                <w:rFonts w:hint="eastAsia" w:ascii="宋体" w:hAnsi="宋体" w:eastAsia="宋体" w:cs="宋体"/>
                <w:sz w:val="18"/>
                <w:szCs w:val="18"/>
              </w:rPr>
              <w:t>到位金额</w:t>
            </w:r>
          </w:p>
          <w:p>
            <w:pPr>
              <w:jc w:val="center"/>
              <w:rPr>
                <w:rFonts w:ascii="宋体" w:hAnsi="宋体" w:eastAsia="宋体" w:cs="宋体"/>
                <w:sz w:val="18"/>
                <w:szCs w:val="18"/>
              </w:rPr>
            </w:pPr>
            <w:r>
              <w:rPr>
                <w:rFonts w:hint="eastAsia" w:ascii="宋体" w:hAnsi="宋体" w:eastAsia="宋体" w:cs="宋体"/>
                <w:sz w:val="18"/>
                <w:szCs w:val="18"/>
              </w:rPr>
              <w:t>到位率（%）</w:t>
            </w:r>
          </w:p>
          <w:p>
            <w:pPr>
              <w:jc w:val="center"/>
              <w:rPr>
                <w:rFonts w:ascii="宋体" w:hAnsi="宋体" w:eastAsia="宋体" w:cs="宋体"/>
                <w:sz w:val="18"/>
                <w:szCs w:val="18"/>
              </w:rPr>
            </w:pPr>
            <w:r>
              <w:rPr>
                <w:rFonts w:hint="eastAsia" w:ascii="宋体" w:hAnsi="宋体" w:eastAsia="宋体" w:cs="宋体"/>
                <w:sz w:val="18"/>
                <w:szCs w:val="18"/>
              </w:rPr>
              <w:t>到位时间</w:t>
            </w:r>
          </w:p>
          <w:p>
            <w:pPr>
              <w:jc w:val="center"/>
              <w:rPr>
                <w:rFonts w:ascii="宋体" w:hAnsi="宋体" w:eastAsia="宋体" w:cs="宋体"/>
                <w:sz w:val="18"/>
                <w:szCs w:val="18"/>
              </w:rPr>
            </w:pPr>
            <w:r>
              <w:rPr>
                <w:rFonts w:hint="eastAsia" w:ascii="宋体" w:hAnsi="宋体" w:eastAsia="宋体" w:cs="宋体"/>
                <w:sz w:val="18"/>
                <w:szCs w:val="18"/>
              </w:rPr>
              <w:t>项目（用款）单位个数</w:t>
            </w:r>
          </w:p>
        </w:tc>
        <w:tc>
          <w:tcPr>
            <w:tcW w:w="9711" w:type="dxa"/>
            <w:gridSpan w:val="29"/>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合计：        个；  其中：市本级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ascii="Times New Roman" w:hAnsi="Times New Roman" w:eastAsia="黑体" w:cs="Times New Roman"/>
                <w:szCs w:val="21"/>
              </w:rPr>
              <w:t>1-2</w:t>
            </w:r>
            <w:r>
              <w:rPr>
                <w:rFonts w:hint="eastAsia" w:ascii="黑体" w:hAnsi="黑体" w:eastAsia="黑体" w:cs="黑体"/>
                <w:szCs w:val="21"/>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资金设立依据（文件）</w:t>
            </w:r>
          </w:p>
        </w:tc>
        <w:tc>
          <w:tcPr>
            <w:tcW w:w="9711" w:type="dxa"/>
            <w:gridSpan w:val="29"/>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6"/>
                <w:szCs w:val="16"/>
                <w:lang w:eastAsia="zh-CN"/>
              </w:rPr>
              <w:t>《</w:t>
            </w:r>
            <w:r>
              <w:rPr>
                <w:rFonts w:hint="eastAsia" w:ascii="宋体" w:hAnsi="宋体" w:eastAsia="宋体" w:cs="宋体"/>
                <w:sz w:val="16"/>
                <w:szCs w:val="16"/>
              </w:rPr>
              <w:t>贺州市自然资源局贺州市发展和改革委员会关于印发贺州市国土空间专项规划编制目录（2021年第一批）的通知</w:t>
            </w:r>
            <w:r>
              <w:rPr>
                <w:rFonts w:hint="eastAsia" w:ascii="宋体" w:hAnsi="宋体" w:eastAsia="宋体" w:cs="宋体"/>
                <w:sz w:val="16"/>
                <w:szCs w:val="16"/>
                <w:lang w:eastAsia="zh-CN"/>
              </w:rPr>
              <w:t>》（贺自然资〔20</w:t>
            </w:r>
            <w:r>
              <w:rPr>
                <w:rFonts w:hint="eastAsia" w:ascii="宋体" w:hAnsi="宋体" w:eastAsia="宋体" w:cs="宋体"/>
                <w:sz w:val="16"/>
                <w:szCs w:val="16"/>
                <w:lang w:val="en-US" w:eastAsia="zh-CN"/>
              </w:rPr>
              <w:t>21</w:t>
            </w:r>
            <w:r>
              <w:rPr>
                <w:rFonts w:hint="eastAsia" w:ascii="宋体" w:hAnsi="宋体" w:eastAsia="宋体" w:cs="宋体"/>
                <w:sz w:val="16"/>
                <w:szCs w:val="16"/>
                <w:lang w:eastAsia="zh-CN"/>
              </w:rPr>
              <w:t>〕</w:t>
            </w:r>
            <w:r>
              <w:rPr>
                <w:rFonts w:hint="eastAsia" w:ascii="宋体" w:hAnsi="宋体" w:eastAsia="宋体" w:cs="宋体"/>
                <w:sz w:val="16"/>
                <w:szCs w:val="16"/>
                <w:lang w:val="en-US" w:eastAsia="zh-CN"/>
              </w:rPr>
              <w:t>99</w:t>
            </w:r>
            <w:r>
              <w:rPr>
                <w:rFonts w:hint="eastAsia" w:ascii="宋体" w:hAnsi="宋体" w:eastAsia="宋体" w:cs="宋体"/>
                <w:sz w:val="16"/>
                <w:szCs w:val="16"/>
                <w:lang w:eastAsia="zh-CN"/>
              </w:rPr>
              <w:t>号）《中共中央国务院关于建立国土空间规划体系并监督实施的若干意见》（中发〔2019〕18号）》《中共贺州市委办公室  贺州市人民政府办公室关于印发《贺州市自然资源局职能配置、内设机构和人员编制规定》的通知》（办发〔2019〕41 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立项方式</w:t>
            </w:r>
          </w:p>
        </w:tc>
        <w:tc>
          <w:tcPr>
            <w:tcW w:w="9711" w:type="dxa"/>
            <w:gridSpan w:val="29"/>
            <w:tcBorders>
              <w:top w:val="single" w:color="auto" w:sz="4" w:space="0"/>
              <w:left w:val="nil"/>
              <w:bottom w:val="single" w:color="auto" w:sz="4" w:space="0"/>
              <w:right w:val="single" w:color="auto" w:sz="4" w:space="0"/>
            </w:tcBorders>
            <w:vAlign w:val="center"/>
          </w:tcPr>
          <w:p>
            <w:pPr>
              <w:spacing w:line="360" w:lineRule="auto"/>
              <w:rPr>
                <w:rFonts w:ascii="宋体" w:hAnsi="宋体" w:eastAsia="宋体" w:cs="宋体"/>
                <w:sz w:val="18"/>
                <w:szCs w:val="18"/>
              </w:rPr>
            </w:pPr>
            <w:r>
              <w:rPr>
                <w:rFonts w:hint="eastAsia" w:ascii="宋体" w:hAnsi="宋体" w:eastAsia="宋体" w:cs="宋体"/>
                <w:sz w:val="18"/>
                <w:szCs w:val="18"/>
              </w:rPr>
              <w:t>1.发改部门批准立项的项目部门审核立项的项目□         2.专家评审立项的项目□</w:t>
            </w:r>
          </w:p>
          <w:p>
            <w:pPr>
              <w:spacing w:line="360" w:lineRule="auto"/>
              <w:rPr>
                <w:rFonts w:ascii="宋体" w:hAnsi="宋体" w:eastAsia="宋体" w:cs="宋体"/>
                <w:sz w:val="18"/>
                <w:szCs w:val="18"/>
              </w:rPr>
            </w:pPr>
            <w:r>
              <w:rPr>
                <w:rFonts w:hint="eastAsia" w:ascii="宋体" w:hAnsi="宋体" w:eastAsia="宋体" w:cs="宋体"/>
                <w:sz w:val="18"/>
                <w:szCs w:val="18"/>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ascii="Times New Roman" w:hAnsi="Times New Roman" w:eastAsia="黑体" w:cs="Times New Roman"/>
                <w:szCs w:val="21"/>
              </w:rPr>
              <w:t>1-3</w:t>
            </w:r>
            <w:r>
              <w:rPr>
                <w:rFonts w:hint="eastAsia" w:ascii="黑体" w:hAnsi="黑体" w:eastAsia="黑体" w:cs="黑体"/>
                <w:szCs w:val="21"/>
              </w:rPr>
              <w:t>：实施过程情况（单位：万元）</w:t>
            </w:r>
          </w:p>
        </w:tc>
      </w:tr>
      <w:tr>
        <w:tblPrEx>
          <w:tblLayout w:type="fixed"/>
          <w:tblCellMar>
            <w:top w:w="0" w:type="dxa"/>
            <w:left w:w="108" w:type="dxa"/>
            <w:bottom w:w="0" w:type="dxa"/>
            <w:right w:w="108" w:type="dxa"/>
          </w:tblCellMar>
        </w:tblPrEx>
        <w:trPr>
          <w:trHeight w:val="397" w:hRule="atLeast"/>
          <w:jc w:val="center"/>
        </w:trPr>
        <w:tc>
          <w:tcPr>
            <w:tcW w:w="314" w:type="dxa"/>
            <w:vMerge w:val="restart"/>
            <w:tcBorders>
              <w:top w:val="single" w:color="auto" w:sz="4" w:space="0"/>
              <w:left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资金管理</w:t>
            </w:r>
          </w:p>
        </w:tc>
        <w:tc>
          <w:tcPr>
            <w:tcW w:w="359" w:type="dxa"/>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以前资金情况</w:t>
            </w:r>
          </w:p>
        </w:tc>
        <w:tc>
          <w:tcPr>
            <w:tcW w:w="6746" w:type="dxa"/>
            <w:gridSpan w:val="20"/>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本次评价资金情况</w:t>
            </w:r>
          </w:p>
        </w:tc>
      </w:tr>
      <w:tr>
        <w:tblPrEx>
          <w:tblLayout w:type="fixed"/>
          <w:tblCellMar>
            <w:top w:w="0" w:type="dxa"/>
            <w:left w:w="108" w:type="dxa"/>
            <w:bottom w:w="0" w:type="dxa"/>
            <w:right w:w="108" w:type="dxa"/>
          </w:tblCellMar>
        </w:tblPrEx>
        <w:trPr>
          <w:trHeight w:val="567"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结余金额</w:t>
            </w:r>
          </w:p>
        </w:tc>
        <w:tc>
          <w:tcPr>
            <w:tcW w:w="963" w:type="dxa"/>
            <w:gridSpan w:val="2"/>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预算（计划）安排</w:t>
            </w:r>
          </w:p>
        </w:tc>
        <w:tc>
          <w:tcPr>
            <w:tcW w:w="2889" w:type="dxa"/>
            <w:gridSpan w:val="10"/>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实际到位</w:t>
            </w:r>
          </w:p>
          <w:p>
            <w:pPr>
              <w:jc w:val="center"/>
              <w:rPr>
                <w:rFonts w:ascii="宋体" w:hAnsi="宋体" w:eastAsia="宋体" w:cs="宋体"/>
                <w:sz w:val="18"/>
                <w:szCs w:val="18"/>
              </w:rPr>
            </w:pPr>
            <w:r>
              <w:rPr>
                <w:rFonts w:hint="eastAsia" w:ascii="宋体" w:hAnsi="宋体" w:eastAsia="宋体" w:cs="宋体"/>
                <w:sz w:val="18"/>
                <w:szCs w:val="18"/>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实际支出</w:t>
            </w:r>
          </w:p>
          <w:p>
            <w:pPr>
              <w:jc w:val="center"/>
              <w:rPr>
                <w:rFonts w:ascii="宋体" w:hAnsi="宋体" w:eastAsia="宋体" w:cs="宋体"/>
                <w:sz w:val="18"/>
                <w:szCs w:val="18"/>
              </w:rPr>
            </w:pPr>
            <w:r>
              <w:rPr>
                <w:rFonts w:hint="eastAsia" w:ascii="宋体" w:hAnsi="宋体" w:eastAsia="宋体" w:cs="宋体"/>
                <w:sz w:val="18"/>
                <w:szCs w:val="18"/>
              </w:rPr>
              <w:t>（项目单位支出）</w:t>
            </w:r>
          </w:p>
        </w:tc>
        <w:tc>
          <w:tcPr>
            <w:tcW w:w="968" w:type="dxa"/>
            <w:gridSpan w:val="2"/>
            <w:vMerge w:val="restart"/>
            <w:tcBorders>
              <w:top w:val="single" w:color="auto" w:sz="4" w:space="0"/>
              <w:left w:val="nil"/>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结余金额</w:t>
            </w:r>
          </w:p>
        </w:tc>
      </w:tr>
      <w:tr>
        <w:tblPrEx>
          <w:tblLayout w:type="fixed"/>
          <w:tblCellMar>
            <w:top w:w="0" w:type="dxa"/>
            <w:left w:w="108" w:type="dxa"/>
            <w:bottom w:w="0" w:type="dxa"/>
            <w:right w:w="108" w:type="dxa"/>
          </w:tblCellMar>
        </w:tblPrEx>
        <w:trPr>
          <w:trHeight w:val="567"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到位率（%）</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支出率（%）</w:t>
            </w:r>
          </w:p>
        </w:tc>
        <w:tc>
          <w:tcPr>
            <w:tcW w:w="968" w:type="dxa"/>
            <w:gridSpan w:val="2"/>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45.15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19.35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45.15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19.35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0</w:t>
            </w: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①银行贷款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②单位自筹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　</w:t>
            </w: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4" w:type="dxa"/>
            <w:vMerge w:val="continue"/>
            <w:tcBorders>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359" w:type="dxa"/>
            <w:vMerge w:val="continue"/>
            <w:tcBorders>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rPr>
                <w:rFonts w:ascii="宋体" w:hAnsi="宋体" w:eastAsia="宋体" w:cs="宋体"/>
                <w:sz w:val="18"/>
                <w:szCs w:val="18"/>
              </w:rPr>
            </w:pPr>
            <w:r>
              <w:rPr>
                <w:rFonts w:hint="eastAsia" w:ascii="宋体" w:hAnsi="宋体" w:eastAsia="宋体" w:cs="宋体"/>
                <w:sz w:val="18"/>
                <w:szCs w:val="18"/>
              </w:rPr>
              <w:t>③其他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c>
          <w:tcPr>
            <w:tcW w:w="968" w:type="dxa"/>
            <w:gridSpan w:val="2"/>
            <w:tcBorders>
              <w:top w:val="single" w:color="auto" w:sz="4" w:space="0"/>
              <w:left w:val="nil"/>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4"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资金管理</w:t>
            </w:r>
          </w:p>
        </w:tc>
        <w:tc>
          <w:tcPr>
            <w:tcW w:w="359"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资金实际支出明细内容</w:t>
            </w:r>
          </w:p>
          <w:p>
            <w:pPr>
              <w:jc w:val="center"/>
              <w:rPr>
                <w:rFonts w:ascii="宋体" w:hAnsi="宋体" w:eastAsia="宋体" w:cs="宋体"/>
                <w:sz w:val="18"/>
                <w:szCs w:val="18"/>
              </w:rPr>
            </w:pPr>
            <w:r>
              <w:rPr>
                <w:rFonts w:hint="eastAsia" w:ascii="宋体" w:hAnsi="宋体" w:eastAsia="宋体" w:cs="宋体"/>
                <w:sz w:val="18"/>
                <w:szCs w:val="18"/>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项目预算</w:t>
            </w:r>
          </w:p>
          <w:p>
            <w:pPr>
              <w:jc w:val="center"/>
              <w:rPr>
                <w:rFonts w:ascii="宋体" w:hAnsi="宋体" w:eastAsia="宋体" w:cs="宋体"/>
                <w:sz w:val="18"/>
                <w:szCs w:val="18"/>
              </w:rPr>
            </w:pPr>
            <w:r>
              <w:rPr>
                <w:rFonts w:hint="eastAsia" w:ascii="宋体" w:hAnsi="宋体" w:eastAsia="宋体" w:cs="宋体"/>
                <w:sz w:val="18"/>
                <w:szCs w:val="18"/>
              </w:rPr>
              <w:t>支出</w:t>
            </w: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项目实际</w:t>
            </w:r>
          </w:p>
          <w:p>
            <w:pPr>
              <w:jc w:val="center"/>
              <w:rPr>
                <w:rFonts w:ascii="宋体" w:hAnsi="宋体" w:eastAsia="宋体" w:cs="宋体"/>
                <w:sz w:val="18"/>
                <w:szCs w:val="18"/>
              </w:rPr>
            </w:pPr>
            <w:r>
              <w:rPr>
                <w:rFonts w:hint="eastAsia" w:ascii="宋体" w:hAnsi="宋体" w:eastAsia="宋体" w:cs="宋体"/>
                <w:sz w:val="18"/>
                <w:szCs w:val="18"/>
              </w:rPr>
              <w:t>支出</w:t>
            </w: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资金支出依据（相关的资金管理办法、</w:t>
            </w:r>
          </w:p>
          <w:p>
            <w:pPr>
              <w:jc w:val="center"/>
              <w:rPr>
                <w:rFonts w:ascii="宋体" w:hAnsi="宋体" w:eastAsia="宋体" w:cs="宋体"/>
                <w:sz w:val="18"/>
                <w:szCs w:val="18"/>
              </w:rPr>
            </w:pPr>
            <w:r>
              <w:rPr>
                <w:rFonts w:hint="eastAsia" w:ascii="宋体" w:hAnsi="宋体" w:eastAsia="宋体" w:cs="宋体"/>
                <w:sz w:val="18"/>
                <w:szCs w:val="18"/>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538" w:type="dxa"/>
            <w:gridSpan w:val="6"/>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4146" w:type="dxa"/>
            <w:gridSpan w:val="10"/>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项目管理</w:t>
            </w:r>
          </w:p>
        </w:tc>
        <w:tc>
          <w:tcPr>
            <w:tcW w:w="359" w:type="dxa"/>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1</w:t>
            </w:r>
            <w:r>
              <w:rPr>
                <w:rFonts w:hint="eastAsia" w:ascii="宋体" w:hAnsi="宋体" w:eastAsia="宋体" w:cs="宋体"/>
                <w:sz w:val="18"/>
                <w:szCs w:val="18"/>
              </w:rPr>
              <w:t>.预算变动</w:t>
            </w:r>
          </w:p>
          <w:p>
            <w:pPr>
              <w:jc w:val="center"/>
              <w:rPr>
                <w:rFonts w:ascii="宋体" w:hAnsi="宋体" w:eastAsia="宋体" w:cs="宋体"/>
                <w:sz w:val="18"/>
                <w:szCs w:val="18"/>
              </w:rPr>
            </w:pPr>
            <w:r>
              <w:rPr>
                <w:rFonts w:hint="eastAsia" w:ascii="宋体" w:hAnsi="宋体" w:eastAsia="宋体" w:cs="宋体"/>
                <w:sz w:val="18"/>
                <w:szCs w:val="18"/>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2</w:t>
            </w:r>
            <w:r>
              <w:rPr>
                <w:rFonts w:hint="eastAsia" w:ascii="宋体" w:hAnsi="宋体" w:eastAsia="宋体" w:cs="宋体"/>
                <w:sz w:val="18"/>
                <w:szCs w:val="18"/>
              </w:rPr>
              <w:t>.支出内容调整（包括设计变动而来的调整）</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ascii="Times New Roman" w:hAnsi="Times New Roman" w:eastAsia="宋体" w:cs="Times New Roman"/>
                <w:sz w:val="18"/>
                <w:szCs w:val="18"/>
              </w:rPr>
              <w:t>3</w:t>
            </w:r>
            <w:r>
              <w:rPr>
                <w:rFonts w:hint="eastAsia" w:ascii="宋体" w:hAnsi="宋体" w:eastAsia="宋体" w:cs="宋体"/>
                <w:sz w:val="18"/>
                <w:szCs w:val="18"/>
              </w:rPr>
              <w:t>.设计方案调整</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其中按要求办理报批手续的项目（用款）单位数量</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实际办理</w:t>
            </w:r>
          </w:p>
          <w:p>
            <w:pPr>
              <w:jc w:val="center"/>
              <w:rPr>
                <w:rFonts w:ascii="宋体" w:hAnsi="宋体" w:eastAsia="宋体" w:cs="宋体"/>
                <w:sz w:val="18"/>
                <w:szCs w:val="18"/>
              </w:rPr>
            </w:pPr>
            <w:r>
              <w:rPr>
                <w:rFonts w:hint="eastAsia" w:ascii="宋体" w:hAnsi="宋体" w:eastAsia="宋体" w:cs="宋体"/>
                <w:sz w:val="18"/>
                <w:szCs w:val="18"/>
              </w:rPr>
              <w:t>的项目数</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调整内容</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调整原因及</w:t>
            </w:r>
          </w:p>
          <w:p>
            <w:pPr>
              <w:jc w:val="left"/>
              <w:rPr>
                <w:rFonts w:ascii="宋体" w:hAnsi="宋体" w:eastAsia="宋体" w:cs="宋体"/>
                <w:sz w:val="18"/>
                <w:szCs w:val="18"/>
              </w:rPr>
            </w:pPr>
            <w:r>
              <w:rPr>
                <w:rFonts w:hint="eastAsia" w:ascii="宋体" w:hAnsi="宋体" w:eastAsia="宋体" w:cs="宋体"/>
                <w:sz w:val="18"/>
                <w:szCs w:val="18"/>
              </w:rPr>
              <w:t>批复文件</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未办理批复的</w:t>
            </w:r>
          </w:p>
          <w:p>
            <w:pPr>
              <w:jc w:val="left"/>
              <w:rPr>
                <w:rFonts w:ascii="宋体" w:hAnsi="宋体" w:eastAsia="宋体" w:cs="宋体"/>
                <w:sz w:val="18"/>
                <w:szCs w:val="18"/>
              </w:rPr>
            </w:pPr>
            <w:r>
              <w:rPr>
                <w:rFonts w:hint="eastAsia" w:ascii="宋体" w:hAnsi="宋体" w:eastAsia="宋体" w:cs="宋体"/>
                <w:sz w:val="18"/>
                <w:szCs w:val="18"/>
              </w:rPr>
              <w:t>项目及原因</w:t>
            </w:r>
          </w:p>
        </w:tc>
        <w:tc>
          <w:tcPr>
            <w:tcW w:w="8068" w:type="dxa"/>
            <w:gridSpan w:val="25"/>
            <w:tcBorders>
              <w:top w:val="single" w:color="auto" w:sz="4" w:space="0"/>
              <w:left w:val="single" w:color="auto" w:sz="4" w:space="0"/>
              <w:bottom w:val="single" w:color="auto" w:sz="4" w:space="0"/>
              <w:right w:val="single" w:color="auto" w:sz="4" w:space="0"/>
            </w:tcBorders>
            <w:vAlign w:val="center"/>
          </w:tcPr>
          <w:p>
            <w:pPr>
              <w:jc w:val="left"/>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4"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359" w:type="dxa"/>
            <w:vMerge w:val="continue"/>
            <w:tcBorders>
              <w:left w:val="single" w:color="auto" w:sz="4" w:space="0"/>
              <w:right w:val="single" w:color="auto" w:sz="4" w:space="0"/>
            </w:tcBorders>
            <w:vAlign w:val="center"/>
          </w:tcPr>
          <w:p>
            <w:pPr>
              <w:jc w:val="left"/>
              <w:rPr>
                <w:rFonts w:ascii="宋体" w:hAnsi="宋体" w:eastAsia="宋体" w:cs="宋体"/>
                <w:sz w:val="18"/>
                <w:szCs w:val="18"/>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ascii="宋体" w:hAnsi="宋体" w:eastAsia="宋体" w:cs="宋体"/>
                <w:sz w:val="18"/>
                <w:szCs w:val="18"/>
              </w:rPr>
            </w:pPr>
            <w:r>
              <w:rPr>
                <w:rFonts w:hint="eastAsia" w:ascii="宋体" w:hAnsi="宋体" w:eastAsia="宋体" w:cs="宋体"/>
                <w:sz w:val="18"/>
                <w:szCs w:val="18"/>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w:t>
            </w:r>
          </w:p>
          <w:p>
            <w:pPr>
              <w:jc w:val="center"/>
              <w:rPr>
                <w:rFonts w:ascii="宋体" w:hAnsi="宋体" w:eastAsia="宋体" w:cs="宋体"/>
                <w:sz w:val="18"/>
                <w:szCs w:val="18"/>
              </w:rPr>
            </w:pPr>
            <w:r>
              <w:rPr>
                <w:rFonts w:hint="eastAsia" w:ascii="宋体" w:hAnsi="宋体" w:eastAsia="宋体" w:cs="宋体"/>
                <w:sz w:val="18"/>
                <w:szCs w:val="18"/>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w:t>
            </w:r>
          </w:p>
          <w:p>
            <w:pPr>
              <w:jc w:val="center"/>
              <w:rPr>
                <w:rFonts w:ascii="宋体" w:hAnsi="宋体" w:eastAsia="宋体" w:cs="宋体"/>
                <w:sz w:val="18"/>
                <w:szCs w:val="18"/>
              </w:rPr>
            </w:pPr>
            <w:r>
              <w:rPr>
                <w:rFonts w:hint="eastAsia" w:ascii="宋体" w:hAnsi="宋体" w:eastAsia="宋体" w:cs="宋体"/>
                <w:sz w:val="18"/>
                <w:szCs w:val="18"/>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c>
          <w:tcPr>
            <w:tcW w:w="96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办理验收手续项目</w:t>
            </w:r>
          </w:p>
        </w:tc>
        <w:tc>
          <w:tcPr>
            <w:tcW w:w="1186" w:type="dxa"/>
            <w:gridSpan w:val="3"/>
            <w:tcBorders>
              <w:top w:val="single" w:color="auto" w:sz="4" w:space="0"/>
              <w:left w:val="single" w:color="auto" w:sz="4" w:space="0"/>
              <w:bottom w:val="single" w:color="auto" w:sz="4" w:space="0"/>
              <w:right w:val="single" w:color="auto" w:sz="4" w:space="0"/>
            </w:tcBorders>
            <w:vAlign w:val="center"/>
          </w:tcPr>
          <w:p>
            <w:pPr>
              <w:jc w:val="right"/>
              <w:rPr>
                <w:rFonts w:ascii="宋体" w:hAnsi="宋体" w:eastAsia="宋体" w:cs="宋体"/>
                <w:sz w:val="18"/>
                <w:szCs w:val="18"/>
              </w:rPr>
            </w:pPr>
            <w:r>
              <w:rPr>
                <w:rFonts w:hint="eastAsia" w:ascii="宋体" w:hAnsi="宋体" w:eastAsia="宋体" w:cs="宋体"/>
                <w:sz w:val="18"/>
                <w:szCs w:val="18"/>
              </w:rPr>
              <w:t>（个）</w:t>
            </w:r>
          </w:p>
        </w:tc>
        <w:tc>
          <w:tcPr>
            <w:tcW w:w="107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4" w:type="dxa"/>
            <w:vMerge w:val="continue"/>
            <w:tcBorders>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c>
          <w:tcPr>
            <w:tcW w:w="359" w:type="dxa"/>
            <w:vMerge w:val="continue"/>
            <w:tcBorders>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ascii="黑体" w:hAnsi="黑体" w:eastAsia="黑体" w:cs="黑体"/>
                <w:szCs w:val="21"/>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18"/>
                <w:szCs w:val="18"/>
              </w:rPr>
            </w:pPr>
            <w:r>
              <w:rPr>
                <w:rFonts w:hint="eastAsia" w:ascii="宋体" w:hAnsi="宋体" w:eastAsia="宋体" w:cs="宋体"/>
                <w:sz w:val="18"/>
                <w:szCs w:val="18"/>
              </w:rPr>
              <w:t>项目已完成未</w:t>
            </w:r>
          </w:p>
          <w:p>
            <w:pPr>
              <w:jc w:val="center"/>
              <w:rPr>
                <w:rFonts w:ascii="黑体" w:hAnsi="黑体" w:eastAsia="黑体" w:cs="黑体"/>
                <w:szCs w:val="21"/>
              </w:rPr>
            </w:pPr>
            <w:r>
              <w:rPr>
                <w:rFonts w:hint="eastAsia" w:ascii="宋体" w:hAnsi="宋体" w:eastAsia="宋体" w:cs="宋体"/>
                <w:sz w:val="18"/>
                <w:szCs w:val="18"/>
              </w:rPr>
              <w:t>办理验收的说明</w:t>
            </w:r>
          </w:p>
        </w:tc>
        <w:tc>
          <w:tcPr>
            <w:tcW w:w="7531" w:type="dxa"/>
            <w:gridSpan w:val="2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黑体"/>
                <w:szCs w:val="21"/>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2"/>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黑体"/>
                <w:sz w:val="18"/>
                <w:szCs w:val="18"/>
              </w:rPr>
            </w:pPr>
            <w:r>
              <w:rPr>
                <w:rFonts w:ascii="Times New Roman" w:hAnsi="Times New Roman" w:eastAsia="黑体" w:cs="Times New Roman"/>
                <w:szCs w:val="21"/>
              </w:rPr>
              <w:t>1-4</w:t>
            </w:r>
            <w:r>
              <w:rPr>
                <w:rFonts w:hint="eastAsia" w:ascii="黑体" w:hAnsi="黑体" w:eastAsia="黑体" w:cs="黑体"/>
                <w:szCs w:val="21"/>
              </w:rPr>
              <w:t>：评价人员（最少</w:t>
            </w:r>
            <w:r>
              <w:rPr>
                <w:rFonts w:ascii="Times New Roman" w:hAnsi="Times New Roman" w:eastAsia="黑体" w:cs="Times New Roman"/>
                <w:szCs w:val="21"/>
              </w:rPr>
              <w:t>3</w:t>
            </w:r>
            <w:r>
              <w:rPr>
                <w:rFonts w:hint="eastAsia" w:ascii="黑体" w:hAnsi="黑体" w:eastAsia="黑体" w:cs="黑体"/>
                <w:szCs w:val="21"/>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姓名：刘显杯</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单位和职务：贺州市自然资源局专项规划科负责人</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姓名：钟梦思</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单位和职务：贺州市自然资源局专项规划科科员</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姓名：罗思思</w:t>
            </w:r>
          </w:p>
        </w:tc>
        <w:tc>
          <w:tcPr>
            <w:tcW w:w="8051" w:type="dxa"/>
            <w:gridSpan w:val="24"/>
            <w:tcBorders>
              <w:top w:val="single" w:color="auto" w:sz="4" w:space="0"/>
              <w:left w:val="nil"/>
              <w:bottom w:val="single" w:color="auto" w:sz="4" w:space="0"/>
              <w:right w:val="single" w:color="auto" w:sz="4" w:space="0"/>
            </w:tcBorders>
            <w:vAlign w:val="center"/>
          </w:tcPr>
          <w:p>
            <w:pPr>
              <w:rPr>
                <w:rFonts w:ascii="宋体" w:hAnsi="宋体" w:eastAsia="宋体" w:cs="宋体"/>
                <w:sz w:val="18"/>
                <w:szCs w:val="18"/>
              </w:rPr>
            </w:pPr>
            <w:r>
              <w:rPr>
                <w:rFonts w:hint="eastAsia" w:ascii="宋体" w:hAnsi="宋体" w:eastAsia="宋体" w:cs="宋体"/>
                <w:sz w:val="18"/>
                <w:szCs w:val="18"/>
              </w:rPr>
              <w:t>单位和职务：贺州市自然资源局专项规划科科员</w:t>
            </w:r>
          </w:p>
        </w:tc>
      </w:tr>
    </w:tbl>
    <w:p>
      <w:pPr>
        <w:pStyle w:val="2"/>
        <w:spacing w:line="560" w:lineRule="exact"/>
        <w:ind w:firstLine="640" w:firstLineChars="200"/>
        <w:rPr>
          <w:rFonts w:ascii="黑体" w:hAnsi="黑体" w:eastAsia="黑体" w:cs="黑体"/>
          <w:sz w:val="32"/>
          <w:szCs w:val="32"/>
        </w:rPr>
      </w:pPr>
    </w:p>
    <w:p>
      <w:pPr>
        <w:pStyle w:val="2"/>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pStyle w:val="2"/>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1.立项背景依据</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2015年12月20日，中央城市工作会议在北京召开，要求“统筹生产、生活、生态三大布局，提高城市发展的宜居性”，“城市建设要以自然为美，把好山好水好风光融入城市。要大力开展生态修复，让城市再现绿水青山，要控制城市开发强度，划定水体保护线、绿地系统线、基础设施建设控制线、历史文化保护线、永久基本农田和生态保护线”。</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2016年，为进一步落实中央城市工作会议精神，广西壮族自治区召开了城市工作会议，会议同时颁布实施了《关于开展“美丽广西 宜居城市”建设活动的实施意见》。要求到2020年，全区所有城市的宜居指数均应达到60以上，20%的城市宜居指数达到80分以上。根据2018年度“美丽广西</w:t>
      </w:r>
      <w:r>
        <w:rPr>
          <w:rFonts w:hint="eastAsia" w:ascii="微软雅黑" w:hAnsi="微软雅黑" w:eastAsia="微软雅黑" w:cs="微软雅黑"/>
          <w:sz w:val="32"/>
          <w:szCs w:val="32"/>
        </w:rPr>
        <w:t>•</w:t>
      </w:r>
      <w:r>
        <w:rPr>
          <w:rFonts w:hint="eastAsia" w:ascii="仿宋_GB2312" w:hAnsi="仿宋_GB2312" w:eastAsia="仿宋_GB2312" w:cs="仿宋_GB2312"/>
          <w:sz w:val="32"/>
          <w:szCs w:val="32"/>
        </w:rPr>
        <w:t>宜居城市”建设评价初步结果来看，贺州市城市宜居指数49.34，排在14个地级市11位，排名较后。对此，也需通过编制绿地系统规划、绿线划定等相关规划，提高指数，最终实现贺州市宜居城市的建设目标。</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2014年国家发改委、国土资源部、环境保护部、住房和城乡建设部将贺州市列为“多规合一”试点市，贺州未来将建设成为粤港澳大湾区美丽后花园，广西东融先行示范区，最终实现贺州“山水园林长寿城”的建设目标。</w:t>
      </w:r>
    </w:p>
    <w:p>
      <w:pPr>
        <w:pStyle w:val="2"/>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2.项目内容</w:t>
      </w:r>
    </w:p>
    <w:p>
      <w:pPr>
        <w:pStyle w:val="2"/>
        <w:spacing w:line="56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以《城市绿线划定技术规范》为依据，结合贺州市绿地现状基础数据，落实总体规划等上位规划要求，协调环保、国土、林业、园林等相关部门规划，并借鉴其它地区先进经验做法，进行编制。在城市规划区内分别划定建设用地内的城市绿线和建设用地外生态控制线。其中，城市绿线由现状绿线与规划绿线两部分组成，依据城市绿地现状，结合已批复总体规划和各片区控制性详细规划，划定绿线的具体边界，确定绿线类型与功能，并制定管理措施；生态控制线划定依据生态资源现状，按照技术规范分四类区域进行划定，衔接生态、林业、环保、国土等相关规划，定名单、定类型、定性质，不定位，并实施弹性管理，分两级管控，分别制定管控措施。在完成以上两大区域的绿线划定工作后，最后制定分期项目计划和绿线管理措施。</w:t>
      </w:r>
    </w:p>
    <w:p>
      <w:pPr>
        <w:pStyle w:val="2"/>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3.资金用途及目的</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用于《贺州市城市绿线专项规划》编制所需设计费用。</w:t>
      </w:r>
    </w:p>
    <w:p>
      <w:pPr>
        <w:pStyle w:val="2"/>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1.项目资金（包括财政资金、自筹资金等）安排落实、总投入等情况分析。</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022</w:t>
      </w:r>
      <w:r>
        <w:rPr>
          <w:rFonts w:hint="eastAsia" w:ascii="仿宋_GB2312" w:hAnsi="仿宋_GB2312" w:eastAsia="仿宋_GB2312" w:cs="仿宋_GB2312"/>
          <w:sz w:val="32"/>
          <w:szCs w:val="32"/>
          <w:highlight w:val="none"/>
        </w:rPr>
        <w:t>年全年预算资金为19.35万元，均为财政资金，</w:t>
      </w:r>
      <w:r>
        <w:rPr>
          <w:rFonts w:hint="eastAsia" w:ascii="仿宋_GB2312" w:hAnsi="仿宋_GB2312" w:eastAsia="仿宋_GB2312" w:cs="仿宋_GB2312"/>
          <w:sz w:val="32"/>
          <w:szCs w:val="32"/>
          <w:highlight w:val="none"/>
          <w:lang w:eastAsia="zh-CN"/>
        </w:rPr>
        <w:t>未支出</w:t>
      </w:r>
      <w:r>
        <w:rPr>
          <w:rFonts w:hint="eastAsia" w:ascii="仿宋_GB2312" w:hAnsi="仿宋_GB2312" w:eastAsia="仿宋_GB2312" w:cs="仿宋_GB2312"/>
          <w:sz w:val="32"/>
          <w:szCs w:val="32"/>
          <w:highlight w:val="none"/>
        </w:rPr>
        <w:t>。</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2</w:t>
      </w:r>
      <w:r>
        <w:rPr>
          <w:rFonts w:ascii="仿宋_GB2312" w:hAnsi="仿宋_GB2312" w:eastAsia="仿宋_GB2312" w:cs="仿宋_GB2312"/>
          <w:sz w:val="32"/>
          <w:szCs w:val="32"/>
          <w:highlight w:val="none"/>
        </w:rPr>
        <w:t>022</w:t>
      </w:r>
      <w:r>
        <w:rPr>
          <w:rFonts w:hint="eastAsia" w:ascii="仿宋_GB2312" w:hAnsi="仿宋_GB2312" w:eastAsia="仿宋_GB2312" w:cs="仿宋_GB2312"/>
          <w:sz w:val="32"/>
          <w:szCs w:val="32"/>
          <w:highlight w:val="none"/>
        </w:rPr>
        <w:t>年全年预算资金为19.35万元，均为财政资金，</w:t>
      </w:r>
      <w:r>
        <w:rPr>
          <w:rFonts w:hint="eastAsia" w:ascii="仿宋_GB2312" w:hAnsi="仿宋_GB2312" w:eastAsia="仿宋_GB2312" w:cs="仿宋_GB2312"/>
          <w:sz w:val="32"/>
          <w:szCs w:val="32"/>
          <w:highlight w:val="none"/>
          <w:lang w:eastAsia="zh-CN"/>
        </w:rPr>
        <w:t>由于受《贺州市国土空间总体规划（2021-2035年）》影响，未能在</w:t>
      </w:r>
      <w:r>
        <w:rPr>
          <w:rFonts w:hint="eastAsia" w:ascii="仿宋_GB2312" w:hAnsi="仿宋_GB2312" w:eastAsia="仿宋_GB2312" w:cs="仿宋_GB2312"/>
          <w:sz w:val="32"/>
          <w:szCs w:val="32"/>
          <w:highlight w:val="none"/>
          <w:lang w:val="en-US" w:eastAsia="zh-CN"/>
        </w:rPr>
        <w:t>2022年完成编制，故</w:t>
      </w:r>
      <w:r>
        <w:rPr>
          <w:rFonts w:hint="eastAsia" w:ascii="仿宋_GB2312" w:hAnsi="仿宋_GB2312" w:eastAsia="仿宋_GB2312" w:cs="仿宋_GB2312"/>
          <w:sz w:val="32"/>
          <w:szCs w:val="32"/>
          <w:highlight w:val="none"/>
          <w:lang w:eastAsia="zh-CN"/>
        </w:rPr>
        <w:t>未支出</w:t>
      </w:r>
      <w:r>
        <w:rPr>
          <w:rFonts w:hint="eastAsia" w:ascii="仿宋_GB2312" w:hAnsi="仿宋_GB2312" w:eastAsia="仿宋_GB2312" w:cs="仿宋_GB2312"/>
          <w:sz w:val="32"/>
          <w:szCs w:val="32"/>
          <w:highlight w:val="none"/>
        </w:rPr>
        <w:t>。</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p>
    <w:p>
      <w:pPr>
        <w:pStyle w:val="2"/>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贺州市自然资源局经费支出管理办法</w:t>
      </w:r>
      <w:r>
        <w:rPr>
          <w:rFonts w:hint="eastAsia" w:ascii="仿宋_GB2312" w:hAnsi="仿宋_GB2312" w:eastAsia="仿宋_GB2312" w:cs="仿宋_GB2312"/>
          <w:sz w:val="32"/>
          <w:szCs w:val="32"/>
          <w:lang w:eastAsia="zh-CN"/>
        </w:rPr>
        <w:t>》（贺自然资〔</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124号文件执行。</w:t>
      </w:r>
    </w:p>
    <w:p>
      <w:pPr>
        <w:pStyle w:val="2"/>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（三）项目组织管理情况</w:t>
      </w:r>
    </w:p>
    <w:p>
      <w:pPr>
        <w:pStyle w:val="2"/>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1.项目组织情况</w:t>
      </w:r>
    </w:p>
    <w:p>
      <w:pPr>
        <w:pStyle w:val="2"/>
        <w:spacing w:line="560" w:lineRule="exact"/>
        <w:ind w:firstLine="567" w:firstLineChars="270"/>
        <w:rPr>
          <w:rFonts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2018年12月4日,项目中标。</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2018年12月11日-13日，项目组对贺州规划区内生态资源和绿地现状建设情况进行调研。</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2018年12月15日-30日，搜集整理，完成初步方案，但缺乏部门资料及控制性详细规划。</w:t>
      </w:r>
    </w:p>
    <w:p>
      <w:pPr>
        <w:pStyle w:val="2"/>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21</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2019</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日与贺州市规划局签订涉密规划数据使用协议，分三次将数据光盘提供完整</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2019年2月25日-3月18日，完成初步方案，发至贺州市规划局。</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2019年3月18日-3月24日，进一步对成果进行校审、完善，形成征求意见稿。</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2019年5月14日，收到部门反馈意见。</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2019年6月，根据意见完成修改。</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2019年6月17日通过专家评审，并提交报批稿。</w:t>
      </w:r>
    </w:p>
    <w:p>
      <w:pPr>
        <w:pStyle w:val="2"/>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由于2</w:t>
      </w:r>
      <w:r>
        <w:rPr>
          <w:rFonts w:ascii="仿宋_GB2312" w:hAnsi="仿宋_GB2312" w:eastAsia="仿宋_GB2312" w:cs="仿宋_GB2312"/>
          <w:sz w:val="32"/>
          <w:szCs w:val="32"/>
        </w:rPr>
        <w:t>019</w:t>
      </w:r>
      <w:r>
        <w:rPr>
          <w:rFonts w:hint="eastAsia" w:ascii="仿宋_GB2312" w:hAnsi="仿宋_GB2312" w:eastAsia="仿宋_GB2312" w:cs="仿宋_GB2312"/>
          <w:sz w:val="32"/>
          <w:szCs w:val="32"/>
        </w:rPr>
        <w:t>年贺州市启动国土空间规划编制工作，暂停本项目审批工作，现贺州市国土空间规划三区三线已审批通过，项目根据国土空间规划成果修改后继续审批工作。</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2.项目管理情况</w:t>
      </w:r>
    </w:p>
    <w:p>
      <w:pPr>
        <w:pStyle w:val="2"/>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二、项目绩效分析及评价结论</w:t>
      </w:r>
    </w:p>
    <w:p>
      <w:pPr>
        <w:pStyle w:val="2"/>
        <w:spacing w:line="560" w:lineRule="exact"/>
        <w:ind w:firstLine="643" w:firstLineChars="200"/>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（一）项目产出完成情况分析。</w:t>
      </w:r>
      <w:r>
        <w:rPr>
          <w:rFonts w:hint="eastAsia" w:ascii="仿宋_GB2312" w:hAnsi="仿宋_GB2312" w:eastAsia="仿宋_GB2312" w:cs="仿宋_GB2312"/>
          <w:color w:val="auto"/>
          <w:sz w:val="32"/>
          <w:szCs w:val="32"/>
          <w:highlight w:val="none"/>
        </w:rPr>
        <w:t>对照绩效产出指标逐项进行分析说明项目完成的数量、质量、时效等。</w:t>
      </w:r>
    </w:p>
    <w:p>
      <w:pPr>
        <w:pStyle w:val="2"/>
        <w:spacing w:line="56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1.产出</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48</w:t>
      </w:r>
      <w:r>
        <w:rPr>
          <w:rFonts w:hint="eastAsia" w:ascii="仿宋_GB2312" w:hAnsi="仿宋_GB2312" w:eastAsia="仿宋_GB2312" w:cs="仿宋_GB2312"/>
          <w:color w:val="auto"/>
          <w:sz w:val="32"/>
          <w:szCs w:val="32"/>
          <w:highlight w:val="none"/>
        </w:rPr>
        <w:t>分）</w:t>
      </w:r>
    </w:p>
    <w:p>
      <w:pPr>
        <w:pStyle w:val="2"/>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分）</w:t>
      </w:r>
    </w:p>
    <w:p>
      <w:pPr>
        <w:pStyle w:val="2"/>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指标内容为“规划成果包含文本、图纸和附件，说明书收入附件”，要求提供各6套正式装订本，电子光盘1份。</w:t>
      </w:r>
    </w:p>
    <w:p>
      <w:pPr>
        <w:pStyle w:val="2"/>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目前该项目2019年6月17日通过专家评审，并于同年6月按照此要求提交报批稿，纸质成果与电子成果均按照此要求提供，得分满分。</w:t>
      </w:r>
    </w:p>
    <w:p>
      <w:pPr>
        <w:pStyle w:val="2"/>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质量指标</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w:t>
      </w:r>
    </w:p>
    <w:p>
      <w:pPr>
        <w:pStyle w:val="2"/>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指标内容为“符合《城市绿线划定技术规范》(GB/T 51163-2016)技术要求，并满足贺州市申报国家园林城市要求”，目前此项目划定远期2035年中心城区公园绿地面积达到1682.33公顷，人均公园绿地面积达到15.43平方米。高于国家园林城市要求的人均12平方米要求，划定方法、成果内容复符合《城市绿线划定技术规范》(GB/T 51163-2016)技术标准要求，得分满分。</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时效指标</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分）</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要求2019年3月1日之完成项目成果，提交审批。但由于2019年国务院启动了国土空间规划工作，受此项目进度影响，需同步修改，导致并未按时提交审批。待国土空间规划完成后，再重新修改完成报批。存在一定偏离，得分8分。</w:t>
      </w:r>
    </w:p>
    <w:p>
      <w:pPr>
        <w:pStyle w:val="2"/>
        <w:numPr>
          <w:ilvl w:val="0"/>
          <w:numId w:val="1"/>
        </w:num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成本指标</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分）</w:t>
      </w:r>
    </w:p>
    <w:p>
      <w:pPr>
        <w:pStyle w:val="2"/>
        <w:widowControl w:val="0"/>
        <w:numPr>
          <w:ilvl w:val="0"/>
          <w:numId w:val="0"/>
        </w:numPr>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项目成本包括</w:t>
      </w:r>
      <w:r>
        <w:rPr>
          <w:rFonts w:hint="default" w:ascii="仿宋_GB2312" w:hAnsi="仿宋_GB2312" w:eastAsia="仿宋_GB2312" w:cs="仿宋_GB2312"/>
          <w:color w:val="auto"/>
          <w:sz w:val="32"/>
          <w:szCs w:val="32"/>
          <w:highlight w:val="none"/>
          <w:lang w:val="en-US" w:eastAsia="zh-CN"/>
        </w:rPr>
        <w:t>规划调研、资料收集、专家评审、成果装订等</w:t>
      </w:r>
      <w:r>
        <w:rPr>
          <w:rFonts w:hint="eastAsia" w:ascii="仿宋_GB2312" w:hAnsi="仿宋_GB2312" w:eastAsia="仿宋_GB2312" w:cs="仿宋_GB2312"/>
          <w:color w:val="auto"/>
          <w:sz w:val="32"/>
          <w:szCs w:val="32"/>
          <w:highlight w:val="none"/>
          <w:lang w:val="en-US" w:eastAsia="zh-CN"/>
        </w:rPr>
        <w:t>，目前均有乙方自行控制，在约定范围内，得分满分。</w:t>
      </w:r>
    </w:p>
    <w:p>
      <w:pPr>
        <w:pStyle w:val="2"/>
        <w:spacing w:line="560" w:lineRule="exact"/>
        <w:ind w:firstLine="643" w:firstLineChars="200"/>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（二）项目效益情况分析。</w:t>
      </w:r>
    </w:p>
    <w:p>
      <w:pPr>
        <w:pStyle w:val="2"/>
        <w:spacing w:line="56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1.效果</w:t>
      </w:r>
      <w:r>
        <w:rPr>
          <w:rFonts w:hint="eastAsia" w:ascii="仿宋_GB2312" w:hAnsi="仿宋_GB2312" w:eastAsia="仿宋_GB2312" w:cs="仿宋_GB2312"/>
          <w:color w:val="auto"/>
          <w:sz w:val="32"/>
          <w:szCs w:val="32"/>
          <w:highlight w:val="none"/>
        </w:rPr>
        <w:t>（满分</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分，得</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rPr>
        <w:t>分）</w:t>
      </w:r>
    </w:p>
    <w:p>
      <w:pPr>
        <w:pStyle w:val="2"/>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（1）经济效益 </w:t>
      </w:r>
    </w:p>
    <w:p>
      <w:pPr>
        <w:pStyle w:val="2"/>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体现在</w:t>
      </w:r>
      <w:r>
        <w:rPr>
          <w:rFonts w:hint="eastAsia" w:ascii="仿宋_GB2312" w:hAnsi="仿宋_GB2312" w:eastAsia="仿宋_GB2312" w:cs="仿宋_GB2312"/>
          <w:color w:val="auto"/>
          <w:sz w:val="32"/>
          <w:szCs w:val="32"/>
          <w:highlight w:val="none"/>
        </w:rPr>
        <w:t>建设一批公园、专类公园、社区公园和游园，繁荣的餐饮、旅游业、商业服务业等行业，并提升公园周边土地价值。</w:t>
      </w:r>
      <w:r>
        <w:rPr>
          <w:rFonts w:hint="eastAsia" w:ascii="仿宋_GB2312" w:hAnsi="仿宋_GB2312" w:eastAsia="仿宋_GB2312" w:cs="仿宋_GB2312"/>
          <w:color w:val="auto"/>
          <w:sz w:val="32"/>
          <w:szCs w:val="32"/>
          <w:highlight w:val="none"/>
          <w:lang w:val="en-US" w:eastAsia="zh-CN"/>
        </w:rPr>
        <w:t xml:space="preserve">本项目共规划爱莲湖公园等15个综合公园、园博园等7个专类公园为主、65个社区公园与171个游园，并完成其绿线划定工作，为各类公园、专类公园、社区公园和游园建设打下基础，得分满分。 </w:t>
      </w:r>
    </w:p>
    <w:p>
      <w:pPr>
        <w:pStyle w:val="2"/>
        <w:numPr>
          <w:ilvl w:val="0"/>
          <w:numId w:val="2"/>
        </w:num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社会效益</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美化市容市貌，建设美丽宜居贺州，提高人民生活质量。</w:t>
      </w:r>
      <w:r>
        <w:rPr>
          <w:rFonts w:hint="eastAsia" w:ascii="仿宋_GB2312" w:hAnsi="仿宋_GB2312" w:eastAsia="仿宋_GB2312" w:cs="仿宋_GB2312"/>
          <w:color w:val="auto"/>
          <w:sz w:val="32"/>
          <w:szCs w:val="32"/>
          <w:highlight w:val="none"/>
          <w:lang w:val="en-US" w:eastAsia="zh-CN"/>
        </w:rPr>
        <w:t>此项目按照广西宜居城市建设目标、申报国家园林城市目标要求进行规划，实施项目清单管理，极大改善了贺州市人居环境，得分满分。</w:t>
      </w:r>
    </w:p>
    <w:p>
      <w:pPr>
        <w:pStyle w:val="2"/>
        <w:numPr>
          <w:ilvl w:val="0"/>
          <w:numId w:val="2"/>
        </w:numPr>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生态效益 </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构筑城乡一体的绿地系统，提升生物多样性植树，改善贺州市区生态环境。该项目划定生态控制线48286公顷、中心城区公园绿地绿线1682.33公顷、防护绿地绿线291.67公顷，正在结合国土空间总体规划进行同步修改。项目对中心城区外围各类自然生态环境进行了详细的识别，并划定生态控制线，提出了管控要求，实现了良好的生态效益，得分满分。</w:t>
      </w:r>
    </w:p>
    <w:p>
      <w:pPr>
        <w:pStyle w:val="2"/>
        <w:numPr>
          <w:ilvl w:val="0"/>
          <w:numId w:val="2"/>
        </w:numPr>
        <w:spacing w:line="560" w:lineRule="exact"/>
        <w:ind w:left="0"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可持续</w:t>
      </w:r>
      <w:r>
        <w:rPr>
          <w:rFonts w:hint="eastAsia" w:ascii="仿宋_GB2312" w:hAnsi="仿宋_GB2312" w:eastAsia="仿宋_GB2312" w:cs="仿宋_GB2312"/>
          <w:color w:val="auto"/>
          <w:sz w:val="32"/>
          <w:szCs w:val="32"/>
          <w:highlight w:val="none"/>
        </w:rPr>
        <w:t xml:space="preserve">效益 </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贺州市创建国家园林城市提供基础，促进城市园林绿化水平迈上新台阶，最终实现贺州“山水园林长寿城”的建设目标。该项目规划人均公园绿地面积达到15.43平方米，高于国家园林城市要求的人均12平方米要求。城区外围形成以姑婆山、大桂山、马尾河、贺江等山体和水系组的“青山环绕，蓝脉绿网，多园均布”生态空间，中心城区形成以湖泊、河流、城市道路、社区公园组成的“一环锁锦绣、六廊通万象、翠链分两岸、众园嵌古城”的绿地空间布局。设置了一批公园，划定城市外围的生态控制线，提升了城区公园周边土地价值，实现了经济、社会、生态效益的全面提升，实现了城市可持续发展目标，得分满分。</w:t>
      </w:r>
    </w:p>
    <w:p>
      <w:pPr>
        <w:pStyle w:val="2"/>
        <w:spacing w:line="560" w:lineRule="exact"/>
        <w:ind w:firstLine="643" w:firstLineChars="200"/>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（三）项目可持续性分析。</w:t>
      </w:r>
      <w:r>
        <w:rPr>
          <w:rFonts w:hint="eastAsia" w:ascii="仿宋_GB2312" w:hAnsi="仿宋_GB2312" w:eastAsia="仿宋_GB2312" w:cs="仿宋_GB2312"/>
          <w:color w:val="auto"/>
          <w:sz w:val="32"/>
          <w:szCs w:val="32"/>
          <w:highlight w:val="none"/>
        </w:rPr>
        <w:t>主要是对项目完成后，后续政策、资金、人员机构安排和管理措施等影响项目持续发展的因素进行分析。包括项目的生命周期、发展潜力、营运管理、未来预期收入、政府支持、行业前景等影响项目可持续性的情况分析。</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规划人均公园绿地面积达到15.43平方米，高于国家园林城市要求的人均12平方米要求。城区外围形成以姑婆山、大桂山、马尾河、贺江等山体和水系组的“青山环绕，蓝脉绿网，多园均布”生态空间，中心城区形成以湖泊、河流、城市道路、社区公园组成的“一环锁锦绣、六廊通万象、翠链分两岸、众园嵌古城”的绿地空间布局。</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为贺州市创建国家园林城市提供基础，促进城市园林绿化水平迈上新台阶，最终实现贺州“山水园林长寿城”的建设目标。</w:t>
      </w:r>
    </w:p>
    <w:p>
      <w:pPr>
        <w:pStyle w:val="2"/>
        <w:numPr>
          <w:ilvl w:val="0"/>
          <w:numId w:val="3"/>
        </w:numPr>
        <w:spacing w:line="560"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项目绩效指标未完成原因分析。</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主要为项目进度失分，受贺州市启动国土空间规划编制工作，此项目作为其下层次专项规划，需同步更新修改</w:t>
      </w:r>
      <w:bookmarkStart w:id="0" w:name="_GoBack"/>
      <w:bookmarkEnd w:id="0"/>
      <w:r>
        <w:rPr>
          <w:rFonts w:hint="eastAsia" w:ascii="仿宋_GB2312" w:hAnsi="仿宋_GB2312" w:eastAsia="仿宋_GB2312" w:cs="仿宋_GB2312"/>
          <w:color w:val="auto"/>
          <w:sz w:val="32"/>
          <w:szCs w:val="32"/>
          <w:highlight w:val="none"/>
          <w:lang w:val="en-US" w:eastAsia="zh-CN"/>
        </w:rPr>
        <w:t>。</w:t>
      </w:r>
    </w:p>
    <w:p>
      <w:pPr>
        <w:pStyle w:val="2"/>
        <w:numPr>
          <w:ilvl w:val="0"/>
          <w:numId w:val="3"/>
        </w:numPr>
        <w:spacing w:line="560" w:lineRule="exact"/>
        <w:ind w:left="0" w:leftChars="0"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评价结果和评价结论。</w:t>
      </w:r>
    </w:p>
    <w:p>
      <w:pPr>
        <w:pStyle w:val="2"/>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本项目自评总分90分，评价等级为优良。</w:t>
      </w:r>
    </w:p>
    <w:p>
      <w:pPr>
        <w:pStyle w:val="2"/>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按照国家法律法规和行业规范要求进行编制，落实了上层次规划要求，贯彻了国务院和自治区人民政府城市工作会议精神，对改善贺州市中心城区人居环境、实现城市可持续发展、提升城市规划管理工作水平具有重要作用，项目成果内容、质量得到业内专家认可，项目实施达到预期效果。下一步要和国土空间规划工作衔接，加快修改，及时上报批复。</w:t>
      </w:r>
    </w:p>
    <w:p>
      <w:pPr>
        <w:pStyle w:val="2"/>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三、经验总结、存在问题及意见建议</w:t>
      </w:r>
    </w:p>
    <w:p>
      <w:pPr>
        <w:pStyle w:val="2"/>
        <w:spacing w:line="560" w:lineRule="exact"/>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（一）主要经验及做法</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项目结合上海市、广州市、北海市等地区划定城市绿线的经验做法，依据《城市绿线划定技术规范》（GB/T 51163-2016）,对贺州市城市总体规划中划定的各类绿地绿线进行划定，落实了总体规划要求的绿线刚性要求，建立了绿地台账，实现了绿地的精细化、信息化管理。主要经验和做法有：</w:t>
      </w:r>
    </w:p>
    <w:p>
      <w:pPr>
        <w:pStyle w:val="2"/>
        <w:numPr>
          <w:ilvl w:val="0"/>
          <w:numId w:val="4"/>
        </w:num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更新规范、统筹协调，确保规划时效性和可操作性。</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编制之初，各类绿地划定的直接依据为2016年编制的《贺州市绿地系统专项规划》，其使用的规范为《城市绿地分类标准》（CJJ/T85-2002）、《城市用地分类与规划建设标准》（GBJ137-90）,目前这两规范已经分别更新为2017年版和2011年版，用地分类、绿地划定方法均有很大的变化，且经过多年的实施，贺州市总体规划和此绿地系统专项规划划定的各类绿地，在各片区控制性详细规划中均有大量边界、面积、位置的调整。为确保本项目时效性，本项目依据最新规范，更新绿地系统绿地规划内容，并将各片区最新批复的控制性详细规划进行拼接，并补充城市规划区内控规范围外各类生产防护绿地、高压走廊、郊野公园、生态隔离带等统一纳入，对重叠图斑、交叉图斑进行修正，解决了规划不协调、使用规范不一致问题。</w:t>
      </w:r>
    </w:p>
    <w:p>
      <w:pPr>
        <w:pStyle w:val="2"/>
        <w:numPr>
          <w:ilvl w:val="0"/>
          <w:numId w:val="4"/>
        </w:num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刚性和弹性相结合</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对不同性质的绿地的管控要求，采取不同的划定方式，确保刚性和弹性管控相结合，提供管理弹性。对现状和规划绿地、大型和中小型绿地差异对待。现状绿地重在定界限范围，规划绿地重在定规模区位；大型绿地重在定界限范围，社区公园和街头绿地重在定规模区位；对绿地规模、布局、形态进行刚性控制，定位定规模定边界，对绿地的规划涉及的设施配置进行弹性引导，定点顶性质，不定边界。</w:t>
      </w:r>
    </w:p>
    <w:p>
      <w:pPr>
        <w:pStyle w:val="2"/>
        <w:numPr>
          <w:ilvl w:val="0"/>
          <w:numId w:val="4"/>
        </w:num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建立绿地台账，为下一步绿地管理监督提供基础支撑</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本项目成果中，对每块绿地均按照“片区名称-绿地性质-率编号”进行编号，录入地址位置、面积等要素，形成统一规范的台账清单。并建立数据库，纳入国土空间规划一张蓝图中，为实现绿线的监测与分析、监管、评价打下基础。 </w:t>
      </w:r>
    </w:p>
    <w:p>
      <w:pPr>
        <w:pStyle w:val="2"/>
        <w:numPr>
          <w:ilvl w:val="0"/>
          <w:numId w:val="5"/>
        </w:numPr>
        <w:spacing w:line="560" w:lineRule="exact"/>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存在问题及原因分析</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项目编制时间久，恰逢规划机构改革和国土空间规划体系建立，法律、规范、规划更新快，且受国土空间规划影响，仍存在一些难以解决的问题。主要表现在：</w:t>
      </w:r>
    </w:p>
    <w:p>
      <w:pPr>
        <w:pStyle w:val="2"/>
        <w:numPr>
          <w:ilvl w:val="0"/>
          <w:numId w:val="6"/>
        </w:numPr>
        <w:spacing w:line="56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绿线划定技术标准亟需随国土空间规划体系更新。</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项目依据的技术标准为《城市绿地分类标准》（CJJ/T85-2017）、《城市绿线划定技术规范》(GB/T 51163-2016)，但自2019年国家建立国土空间规划体系以来，上位要求及整个规划体系均发生巨大变化，原两个标准已经不能适应新规划体系，亟需对矛盾、不协调条款进行更新。以《城市绿线划定技术规范》(GB/T 51163-2016)为例，要求绿线划定的生态控制线在城市规划区范围内划定，但在新的国土规划体系内，已经取消城市规划区概念，应在中心城区范围内划定，但此规范并未明确，存在生态控制线划定范围无直接依据的情形。</w:t>
      </w:r>
    </w:p>
    <w:p>
      <w:pPr>
        <w:pStyle w:val="2"/>
        <w:numPr>
          <w:ilvl w:val="0"/>
          <w:numId w:val="6"/>
        </w:num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自然资源部门对现状绿地的认定存在偏差</w:t>
      </w:r>
    </w:p>
    <w:p>
      <w:pPr>
        <w:pStyle w:val="2"/>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部门对现状绿地的认定源于三调基础数据，但三调数据对各类绿地，尤其市城区内的公园绿地、防护绿地存在偏差，存在将绿地调查为林地、园地、建设用地、道路用地等情况，导致现状绿地统计偏少，需要进行再次调查、举证、纠偏等二次整理工作，工作量较大。且目前对于城市边缘区的郊野公园等，尚不能通过自然资源第三次土地调查数据或国土空间总体规划，将具备城市公园功能的郊野公园由非建设用地统计为建设用地中的公园绿地。</w:t>
      </w:r>
    </w:p>
    <w:p>
      <w:pPr>
        <w:pStyle w:val="2"/>
        <w:numPr>
          <w:ilvl w:val="0"/>
          <w:numId w:val="5"/>
        </w:numPr>
        <w:spacing w:line="560" w:lineRule="exact"/>
        <w:ind w:firstLine="643" w:firstLineChars="200"/>
        <w:rPr>
          <w:rFonts w:ascii="仿宋_GB2312" w:hAnsi="仿宋_GB2312" w:eastAsia="仿宋_GB2312" w:cs="仿宋_GB2312"/>
          <w:color w:val="auto"/>
          <w:sz w:val="32"/>
          <w:szCs w:val="32"/>
          <w:highlight w:val="none"/>
        </w:rPr>
      </w:pPr>
      <w:r>
        <w:rPr>
          <w:rFonts w:hint="eastAsia" w:ascii="楷体_GB2312" w:hAnsi="楷体_GB2312" w:eastAsia="楷体_GB2312" w:cs="楷体_GB2312"/>
          <w:b/>
          <w:bCs/>
          <w:color w:val="auto"/>
          <w:sz w:val="32"/>
          <w:szCs w:val="32"/>
          <w:highlight w:val="none"/>
        </w:rPr>
        <w:t>意见建议。</w:t>
      </w:r>
    </w:p>
    <w:p>
      <w:pPr>
        <w:pStyle w:val="2"/>
        <w:numPr>
          <w:ilvl w:val="0"/>
          <w:numId w:val="7"/>
        </w:num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现有绿线划定标准以规划建设用地范围内为依据，建议按照国土空间规划体系编制方式，以城镇开发边界为规划建设用地内绿线划定范围，开展下一步绿线划定更新工作；</w:t>
      </w:r>
    </w:p>
    <w:p>
      <w:pPr>
        <w:pStyle w:val="2"/>
        <w:numPr>
          <w:ilvl w:val="0"/>
          <w:numId w:val="7"/>
        </w:num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议暂缓生态控制线的划定，此阶段以城市开发边界内的绿线划定为主要工作，不再划定生态控制线。理由：绿线划定标准亟需修改，目前对生态控制线的划定内容、划定方法以及存在价值，在2019年至后，行业内存在较大争议，且与自然资源部2019年正式印发实施的《市级国土空间总体规划编制指南（试行）》中的“生态控制区”存在冲突，难以解决此问题。待相关政策要求、行业规范明确后再做决定。</w:t>
      </w:r>
    </w:p>
    <w:p>
      <w:pPr>
        <w:pStyle w:val="2"/>
        <w:numPr>
          <w:ilvl w:val="0"/>
          <w:numId w:val="8"/>
        </w:numPr>
        <w:spacing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其他需要说明的问题</w:t>
      </w:r>
    </w:p>
    <w:p>
      <w:pPr>
        <w:pStyle w:val="2"/>
        <w:numPr>
          <w:ilvl w:val="0"/>
          <w:numId w:val="0"/>
        </w:numPr>
        <w:spacing w:line="560" w:lineRule="exact"/>
        <w:ind w:firstLine="640" w:firstLineChars="20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无。</w:t>
      </w:r>
    </w:p>
    <w:sectPr>
      <w:footerReference r:id="rId3" w:type="default"/>
      <w:pgSz w:w="12240" w:h="15840"/>
      <w:pgMar w:top="1440" w:right="1800" w:bottom="1440" w:left="1800" w:header="720" w:footer="720" w:gutter="0"/>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- 14 -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- 14 -</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B33525"/>
    <w:multiLevelType w:val="singleLevel"/>
    <w:tmpl w:val="99B33525"/>
    <w:lvl w:ilvl="0" w:tentative="0">
      <w:start w:val="4"/>
      <w:numFmt w:val="chineseCounting"/>
      <w:suff w:val="nothing"/>
      <w:lvlText w:val="%1、"/>
      <w:lvlJc w:val="left"/>
      <w:rPr>
        <w:rFonts w:hint="eastAsia"/>
      </w:rPr>
    </w:lvl>
  </w:abstractNum>
  <w:abstractNum w:abstractNumId="1">
    <w:nsid w:val="06F58E6C"/>
    <w:multiLevelType w:val="singleLevel"/>
    <w:tmpl w:val="06F58E6C"/>
    <w:lvl w:ilvl="0" w:tentative="0">
      <w:start w:val="1"/>
      <w:numFmt w:val="decimal"/>
      <w:suff w:val="nothing"/>
      <w:lvlText w:val="%1、"/>
      <w:lvlJc w:val="left"/>
    </w:lvl>
  </w:abstractNum>
  <w:abstractNum w:abstractNumId="2">
    <w:nsid w:val="241A1DCC"/>
    <w:multiLevelType w:val="singleLevel"/>
    <w:tmpl w:val="241A1DCC"/>
    <w:lvl w:ilvl="0" w:tentative="0">
      <w:start w:val="1"/>
      <w:numFmt w:val="decimal"/>
      <w:suff w:val="nothing"/>
      <w:lvlText w:val="%1、"/>
      <w:lvlJc w:val="left"/>
    </w:lvl>
  </w:abstractNum>
  <w:abstractNum w:abstractNumId="3">
    <w:nsid w:val="3EDE00BA"/>
    <w:multiLevelType w:val="singleLevel"/>
    <w:tmpl w:val="3EDE00BA"/>
    <w:lvl w:ilvl="0" w:tentative="0">
      <w:start w:val="2"/>
      <w:numFmt w:val="chineseCounting"/>
      <w:suff w:val="nothing"/>
      <w:lvlText w:val="（%1）"/>
      <w:lvlJc w:val="left"/>
      <w:rPr>
        <w:rFonts w:hint="eastAsia"/>
        <w:b/>
        <w:bCs/>
      </w:rPr>
    </w:lvl>
  </w:abstractNum>
  <w:abstractNum w:abstractNumId="4">
    <w:nsid w:val="49B4B023"/>
    <w:multiLevelType w:val="singleLevel"/>
    <w:tmpl w:val="49B4B023"/>
    <w:lvl w:ilvl="0" w:tentative="0">
      <w:start w:val="1"/>
      <w:numFmt w:val="decimal"/>
      <w:suff w:val="nothing"/>
      <w:lvlText w:val="%1、"/>
      <w:lvlJc w:val="left"/>
    </w:lvl>
  </w:abstractNum>
  <w:abstractNum w:abstractNumId="5">
    <w:nsid w:val="5E1E248D"/>
    <w:multiLevelType w:val="singleLevel"/>
    <w:tmpl w:val="5E1E248D"/>
    <w:lvl w:ilvl="0" w:tentative="0">
      <w:start w:val="2"/>
      <w:numFmt w:val="decimal"/>
      <w:suff w:val="nothing"/>
      <w:lvlText w:val="（%1）"/>
      <w:lvlJc w:val="left"/>
    </w:lvl>
  </w:abstractNum>
  <w:abstractNum w:abstractNumId="6">
    <w:nsid w:val="6A316171"/>
    <w:multiLevelType w:val="singleLevel"/>
    <w:tmpl w:val="6A316171"/>
    <w:lvl w:ilvl="0" w:tentative="0">
      <w:start w:val="4"/>
      <w:numFmt w:val="chineseCounting"/>
      <w:suff w:val="nothing"/>
      <w:lvlText w:val="（%1）"/>
      <w:lvlJc w:val="left"/>
      <w:rPr>
        <w:rFonts w:hint="eastAsia"/>
      </w:rPr>
    </w:lvl>
  </w:abstractNum>
  <w:abstractNum w:abstractNumId="7">
    <w:nsid w:val="6BF77E18"/>
    <w:multiLevelType w:val="singleLevel"/>
    <w:tmpl w:val="6BF77E18"/>
    <w:lvl w:ilvl="0" w:tentative="0">
      <w:start w:val="4"/>
      <w:numFmt w:val="decimal"/>
      <w:suff w:val="nothing"/>
      <w:lvlText w:val="（%1）"/>
      <w:lvlJc w:val="left"/>
    </w:lvl>
  </w:abstractNum>
  <w:num w:numId="1">
    <w:abstractNumId w:val="7"/>
  </w:num>
  <w:num w:numId="2">
    <w:abstractNumId w:val="5"/>
  </w:num>
  <w:num w:numId="3">
    <w:abstractNumId w:val="6"/>
  </w:num>
  <w:num w:numId="4">
    <w:abstractNumId w:val="4"/>
  </w:num>
  <w:num w:numId="5">
    <w:abstractNumId w:val="3"/>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lZDc2ZDE0YzYxMTlkODRjNGY1ODIzZjFmYzY2MTUifQ=="/>
    <w:docVar w:name="KSO_WPS_MARK_KEY" w:val="913618e5-cd91-428a-ae2b-79f81b89269e"/>
  </w:docVars>
  <w:rsids>
    <w:rsidRoot w:val="00BF79F7"/>
    <w:rsid w:val="004D55DB"/>
    <w:rsid w:val="005D63A3"/>
    <w:rsid w:val="005E7CB1"/>
    <w:rsid w:val="006273F0"/>
    <w:rsid w:val="00650B03"/>
    <w:rsid w:val="00792DDD"/>
    <w:rsid w:val="00AC7FE6"/>
    <w:rsid w:val="00BF79F7"/>
    <w:rsid w:val="00C35A12"/>
    <w:rsid w:val="00C54A09"/>
    <w:rsid w:val="00D63B63"/>
    <w:rsid w:val="00E623B3"/>
    <w:rsid w:val="00F361BA"/>
    <w:rsid w:val="00F97BB4"/>
    <w:rsid w:val="09AC3A9C"/>
    <w:rsid w:val="09C21CCC"/>
    <w:rsid w:val="10466781"/>
    <w:rsid w:val="14D421C7"/>
    <w:rsid w:val="15485378"/>
    <w:rsid w:val="16F11180"/>
    <w:rsid w:val="17086BDB"/>
    <w:rsid w:val="18AF055F"/>
    <w:rsid w:val="1D024DFC"/>
    <w:rsid w:val="203F6352"/>
    <w:rsid w:val="2424631C"/>
    <w:rsid w:val="28DD7535"/>
    <w:rsid w:val="2B1227DD"/>
    <w:rsid w:val="2D2C7B74"/>
    <w:rsid w:val="2D8D7C9C"/>
    <w:rsid w:val="2DC64C6A"/>
    <w:rsid w:val="2EBC29C4"/>
    <w:rsid w:val="31AE347F"/>
    <w:rsid w:val="32CD165C"/>
    <w:rsid w:val="34416B1F"/>
    <w:rsid w:val="37C336FC"/>
    <w:rsid w:val="3AB52262"/>
    <w:rsid w:val="3D0045FD"/>
    <w:rsid w:val="3D2F0EAB"/>
    <w:rsid w:val="3E4C4CEE"/>
    <w:rsid w:val="41C104B8"/>
    <w:rsid w:val="42D75E91"/>
    <w:rsid w:val="459E4E41"/>
    <w:rsid w:val="4D3E2113"/>
    <w:rsid w:val="4ECD0705"/>
    <w:rsid w:val="509F7A23"/>
    <w:rsid w:val="52786F2C"/>
    <w:rsid w:val="55B95249"/>
    <w:rsid w:val="6703068A"/>
    <w:rsid w:val="6D1C616C"/>
    <w:rsid w:val="70FF1632"/>
    <w:rsid w:val="72832099"/>
    <w:rsid w:val="759077BF"/>
    <w:rsid w:val="7686637E"/>
    <w:rsid w:val="7FDA3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819</Words>
  <Characters>4673</Characters>
  <Lines>38</Lines>
  <Paragraphs>10</Paragraphs>
  <TotalTime>1</TotalTime>
  <ScaleCrop>false</ScaleCrop>
  <LinksUpToDate>false</LinksUpToDate>
  <CharactersWithSpaces>5482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2023-03-09T00:51:00Z</dcterms:created>
  <dc:creator>CZJ</dc:creator>
  <cp:lastModifiedBy>陆廷军</cp:lastModifiedBy>
  <cp:lastPrinted>2022-04-08T02:44:00Z</cp:lastPrinted>
  <dcterms:modified xsi:type="dcterms:W3CDTF">2023-03-14T09:28:16Z</dcterms:modified>
  <dc:title>附件5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39F5179283A24CDDA1C8FE8708FBF0E0</vt:lpwstr>
  </property>
</Properties>
</file>