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5A0B4">
      <w:pPr>
        <w:jc w:val="center"/>
        <w:rPr>
          <w:rFonts w:hint="eastAsia"/>
          <w:lang w:val="en-US" w:eastAsia="zh-CN"/>
        </w:rPr>
      </w:pPr>
      <w:r>
        <w:rPr>
          <w:rFonts w:hint="eastAsia" w:asciiTheme="minorEastAsia" w:hAnsiTheme="minorEastAsia" w:eastAsiaTheme="minorEastAsia" w:cstheme="minorEastAsia"/>
          <w:b/>
          <w:bCs/>
          <w:color w:val="auto"/>
          <w:sz w:val="32"/>
          <w:szCs w:val="32"/>
        </w:rPr>
        <w:t>贺州市自然资源局不动产查档证明自助打印终端机设备采购</w:t>
      </w:r>
      <w:r>
        <w:rPr>
          <w:rFonts w:hint="eastAsia" w:asciiTheme="minorEastAsia" w:hAnsiTheme="minorEastAsia" w:eastAsiaTheme="minorEastAsia" w:cstheme="minorEastAsia"/>
          <w:b/>
          <w:bCs/>
          <w:color w:val="auto"/>
          <w:sz w:val="32"/>
          <w:szCs w:val="32"/>
          <w:lang w:val="en-US" w:eastAsia="zh-CN"/>
        </w:rPr>
        <w:t>项目代理服务机构评选综合评分表</w:t>
      </w:r>
    </w:p>
    <w:tbl>
      <w:tblPr>
        <w:tblStyle w:val="3"/>
        <w:tblpPr w:leftFromText="181" w:rightFromText="181" w:vertAnchor="text" w:tblpXSpec="center" w:tblpY="114"/>
        <w:tblOverlap w:val="never"/>
        <w:tblW w:w="14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0"/>
        <w:gridCol w:w="5292"/>
        <w:gridCol w:w="1718"/>
        <w:gridCol w:w="1896"/>
        <w:gridCol w:w="1886"/>
        <w:gridCol w:w="1935"/>
      </w:tblGrid>
      <w:tr w14:paraId="7B0F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3E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5292"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14:paraId="7D5E6C5B">
            <w:pPr>
              <w:keepNext w:val="0"/>
              <w:keepLines w:val="0"/>
              <w:pageBreakBefore w:val="0"/>
              <w:widowControl/>
              <w:suppressLineNumbers w:val="0"/>
              <w:tabs>
                <w:tab w:val="right" w:pos="2276"/>
              </w:tabs>
              <w:kinsoku/>
              <w:wordWrap/>
              <w:overflowPunct/>
              <w:topLinePunct w:val="0"/>
              <w:autoSpaceDE/>
              <w:autoSpaceDN/>
              <w:bidi w:val="0"/>
              <w:adjustRightInd/>
              <w:snapToGrid/>
              <w:spacing w:line="312" w:lineRule="auto"/>
              <w:jc w:val="both"/>
              <w:textAlignment w:val="center"/>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b/>
                <w:bCs/>
                <w:color w:val="auto"/>
                <w:sz w:val="21"/>
                <w:szCs w:val="21"/>
                <w:lang w:val="en-US" w:eastAsia="zh-CN"/>
              </w:rPr>
              <w:t>公司名称</w:t>
            </w:r>
          </w:p>
          <w:p w14:paraId="347A86BC">
            <w:pPr>
              <w:pStyle w:val="2"/>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1"/>
                <w:szCs w:val="21"/>
                <w:lang w:eastAsia="zh-CN"/>
              </w:rPr>
            </w:pPr>
            <w:r>
              <w:rPr>
                <w:rFonts w:hint="eastAsia" w:ascii="宋体" w:hAnsi="宋体" w:eastAsia="宋体" w:cs="宋体"/>
                <w:b/>
                <w:bCs/>
                <w:i w:val="0"/>
                <w:iCs w:val="0"/>
                <w:color w:val="auto"/>
                <w:sz w:val="21"/>
                <w:szCs w:val="21"/>
                <w:u w:val="none"/>
                <w:lang w:eastAsia="zh-CN"/>
              </w:rPr>
              <w:t>评分标准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4E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i w:val="0"/>
                <w:iCs w:val="0"/>
                <w:color w:val="auto"/>
                <w:kern w:val="0"/>
                <w:sz w:val="21"/>
                <w:szCs w:val="21"/>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063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i w:val="0"/>
                <w:iCs w:val="0"/>
                <w:color w:val="auto"/>
                <w:kern w:val="0"/>
                <w:sz w:val="21"/>
                <w:szCs w:val="21"/>
                <w:u w:val="none"/>
                <w:lang w:val="en-US" w:eastAsia="zh-CN" w:bidi="ar"/>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DAB8">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i w:val="0"/>
                <w:iCs w:val="0"/>
                <w:color w:val="auto"/>
                <w:kern w:val="0"/>
                <w:sz w:val="21"/>
                <w:szCs w:val="21"/>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CC6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i w:val="0"/>
                <w:iCs w:val="0"/>
                <w:color w:val="auto"/>
                <w:kern w:val="0"/>
                <w:sz w:val="21"/>
                <w:szCs w:val="21"/>
                <w:u w:val="none"/>
                <w:lang w:val="en-US" w:eastAsia="zh-CN" w:bidi="ar"/>
              </w:rPr>
            </w:pPr>
          </w:p>
        </w:tc>
      </w:tr>
      <w:tr w14:paraId="2FFE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1570" w:type="dxa"/>
            <w:tcBorders>
              <w:left w:val="single" w:color="000000" w:sz="4" w:space="0"/>
              <w:bottom w:val="single" w:color="000000" w:sz="4" w:space="0"/>
              <w:right w:val="single" w:color="000000" w:sz="4" w:space="0"/>
            </w:tcBorders>
            <w:shd w:val="clear" w:color="auto" w:fill="auto"/>
            <w:vAlign w:val="center"/>
          </w:tcPr>
          <w:p w14:paraId="46980147">
            <w:pPr>
              <w:keepNext w:val="0"/>
              <w:keepLines w:val="0"/>
              <w:pageBreakBefore w:val="0"/>
              <w:widowControl/>
              <w:numPr>
                <w:ilvl w:val="0"/>
                <w:numId w:val="1"/>
              </w:numPr>
              <w:suppressLineNumbers w:val="0"/>
              <w:tabs>
                <w:tab w:val="left" w:pos="606"/>
              </w:tabs>
              <w:kinsoku/>
              <w:wordWrap/>
              <w:overflowPunct/>
              <w:topLinePunct w:val="0"/>
              <w:autoSpaceDE/>
              <w:autoSpaceDN/>
              <w:bidi w:val="0"/>
              <w:adjustRightInd/>
              <w:snapToGrid/>
              <w:spacing w:line="312" w:lineRule="auto"/>
              <w:ind w:left="0" w:leftChars="0" w:right="0" w:rightChars="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价格分</w:t>
            </w:r>
          </w:p>
          <w:p w14:paraId="221031C5">
            <w:pPr>
              <w:pStyle w:val="2"/>
              <w:keepNext w:val="0"/>
              <w:keepLines w:val="0"/>
              <w:pageBreakBefore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（满分20分）</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188">
            <w:pPr>
              <w:keepNext w:val="0"/>
              <w:keepLines w:val="0"/>
              <w:pageBreakBefore w:val="0"/>
              <w:widowControl/>
              <w:suppressLineNumbers w:val="0"/>
              <w:tabs>
                <w:tab w:val="left" w:pos="606"/>
              </w:tabs>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代理服务费收费标准按《国家发展计划委员会关于印发&lt;招标代理服务收费管理暂行办法&gt;的通知》（计价格〔2002〕1980号）和《国家发改委办公厅关于招标代理服务收费有关问题的通知》（发改办价格〔2003〕857号）等相关规定计算，代理机构按计费标准的下浮率报价。</w:t>
            </w:r>
          </w:p>
          <w:p w14:paraId="60F10AB9">
            <w:pPr>
              <w:keepNext w:val="0"/>
              <w:keepLines w:val="0"/>
              <w:pageBreakBefore w:val="0"/>
              <w:widowControl/>
              <w:numPr>
                <w:ilvl w:val="0"/>
                <w:numId w:val="2"/>
              </w:numPr>
              <w:suppressLineNumbers w:val="0"/>
              <w:tabs>
                <w:tab w:val="left" w:pos="606"/>
              </w:tabs>
              <w:kinsoku/>
              <w:wordWrap/>
              <w:overflowPunct/>
              <w:topLinePunct w:val="0"/>
              <w:autoSpaceDE/>
              <w:autoSpaceDN/>
              <w:bidi w:val="0"/>
              <w:adjustRightInd/>
              <w:snapToGrid/>
              <w:spacing w:line="312" w:lineRule="auto"/>
              <w:ind w:left="425" w:leftChars="0" w:right="0" w:rightChars="0" w:hanging="425"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代理机构下浮率最低的为基准价，其报价分为满分。</w:t>
            </w:r>
          </w:p>
          <w:p w14:paraId="29D574A5">
            <w:pPr>
              <w:keepNext w:val="0"/>
              <w:keepLines w:val="0"/>
              <w:pageBreakBefore w:val="0"/>
              <w:widowControl/>
              <w:numPr>
                <w:ilvl w:val="0"/>
                <w:numId w:val="2"/>
              </w:numPr>
              <w:suppressLineNumbers w:val="0"/>
              <w:tabs>
                <w:tab w:val="left" w:pos="606"/>
              </w:tabs>
              <w:kinsoku/>
              <w:wordWrap/>
              <w:overflowPunct/>
              <w:topLinePunct w:val="0"/>
              <w:autoSpaceDE/>
              <w:autoSpaceDN/>
              <w:bidi w:val="0"/>
              <w:adjustRightInd/>
              <w:snapToGrid/>
              <w:spacing w:line="312" w:lineRule="auto"/>
              <w:ind w:left="425" w:leftChars="0" w:right="0" w:rightChars="0" w:hanging="425"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其他代理机构的价格分按照以下公式计算：某代理机构价格分=（【基准价/某代理机构下浮率）×20分。（最高得20分）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C72A">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A241">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191">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F7B">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r>
      <w:tr w14:paraId="68F3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5BD06">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2、业绩分</w:t>
            </w:r>
          </w:p>
          <w:p w14:paraId="35392E53">
            <w:pPr>
              <w:pStyle w:val="2"/>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sz w:val="21"/>
                <w:szCs w:val="21"/>
                <w:u w:val="none"/>
                <w:lang w:val="en-US" w:eastAsia="zh-CN"/>
              </w:rPr>
              <w:t>（满分30分）</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324">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基础分（10分）。</w:t>
            </w:r>
          </w:p>
          <w:p w14:paraId="5247ED7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近3年（2022年12月至今）代理项目数量达到10个的得10分，每少1个扣1分，扣完为止（需提供代理服务协议或中标（成交）通知书）</w:t>
            </w:r>
            <w:r>
              <w:rPr>
                <w:rFonts w:hint="eastAsia" w:ascii="宋体" w:hAnsi="宋体" w:eastAsia="宋体" w:cs="宋体"/>
                <w:i w:val="0"/>
                <w:iCs w:val="0"/>
                <w:color w:val="auto"/>
                <w:kern w:val="0"/>
                <w:sz w:val="21"/>
                <w:szCs w:val="21"/>
                <w:highlight w:val="none"/>
                <w:u w:val="none"/>
                <w:lang w:val="en-US" w:eastAsia="zh-CN" w:bidi="ar"/>
              </w:rPr>
              <w:t>。</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A596">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FB84">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BB67">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F0A1">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r>
      <w:tr w14:paraId="044B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98CD">
            <w:pPr>
              <w:pStyle w:val="2"/>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jc w:val="center"/>
              <w:rPr>
                <w:rFonts w:hint="eastAsia" w:ascii="宋体" w:hAnsi="宋体" w:eastAsia="宋体" w:cs="宋体"/>
                <w:i w:val="0"/>
                <w:iCs w:val="0"/>
                <w:color w:val="auto"/>
                <w:sz w:val="21"/>
                <w:szCs w:val="21"/>
                <w:u w:val="none"/>
                <w:lang w:val="en-US" w:eastAsia="zh-CN"/>
              </w:rPr>
            </w:pP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C3E">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加分（20分）。</w:t>
            </w:r>
          </w:p>
          <w:p w14:paraId="4FC17262">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近3年（2022年12月至今）代理过的项目中标金额400万元-1000万元（不含）的每个加2分，中标金额1000万元及以上的每个加3分</w:t>
            </w:r>
            <w:r>
              <w:rPr>
                <w:rFonts w:hint="eastAsia" w:ascii="宋体" w:hAnsi="宋体" w:eastAsia="宋体" w:cs="宋体"/>
                <w:i w:val="0"/>
                <w:iCs w:val="0"/>
                <w:color w:val="auto"/>
                <w:kern w:val="0"/>
                <w:sz w:val="21"/>
                <w:szCs w:val="21"/>
                <w:u w:val="none"/>
                <w:lang w:val="en-US" w:eastAsia="zh-CN" w:bidi="ar"/>
              </w:rPr>
              <w:t>（需提供代理服务协议或中标（成交）通知书）</w:t>
            </w:r>
            <w:r>
              <w:rPr>
                <w:rFonts w:hint="eastAsia" w:ascii="宋体" w:hAnsi="宋体" w:eastAsia="宋体" w:cs="宋体"/>
                <w:color w:val="auto"/>
                <w:sz w:val="21"/>
                <w:szCs w:val="21"/>
                <w:lang w:val="en-US" w:eastAsia="zh-CN"/>
              </w:rPr>
              <w:t>。</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94C">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ADB2">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7751">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1620">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r>
      <w:tr w14:paraId="22F4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42A9">
            <w:pPr>
              <w:pStyle w:val="2"/>
              <w:keepNext w:val="0"/>
              <w:keepLines w:val="0"/>
              <w:pageBreakBefore w:val="0"/>
              <w:numPr>
                <w:ilvl w:val="0"/>
                <w:numId w:val="0"/>
              </w:numPr>
              <w:kinsoku/>
              <w:wordWrap/>
              <w:overflowPunct/>
              <w:topLinePunct w:val="0"/>
              <w:autoSpaceDE/>
              <w:autoSpaceDN/>
              <w:bidi w:val="0"/>
              <w:adjustRightInd/>
              <w:snapToGrid/>
              <w:spacing w:line="312" w:lineRule="auto"/>
              <w:ind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3、投入人员分</w:t>
            </w:r>
          </w:p>
          <w:p w14:paraId="5B49EB2B">
            <w:pPr>
              <w:keepNext w:val="0"/>
              <w:keepLines w:val="0"/>
              <w:pageBreakBefore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（满分15分）</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863A">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lef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①拟投入技术人员1--2人的，得5分；</w:t>
            </w:r>
          </w:p>
          <w:p w14:paraId="66090215">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lef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②拟投入技术人员3-4人的，得10分；</w:t>
            </w:r>
          </w:p>
          <w:p w14:paraId="7B5D8961">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lef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③拟投入技术人员5人及以上的，得15分。</w:t>
            </w:r>
          </w:p>
          <w:p w14:paraId="10A54EDD">
            <w:pPr>
              <w:pStyle w:val="2"/>
              <w:keepNext w:val="0"/>
              <w:keepLines w:val="0"/>
              <w:pageBreakBefore w:val="0"/>
              <w:widowControl/>
              <w:kinsoku/>
              <w:wordWrap/>
              <w:overflowPunct/>
              <w:topLinePunct w:val="0"/>
              <w:autoSpaceDE/>
              <w:autoSpaceDN/>
              <w:bidi w:val="0"/>
              <w:adjustRightInd/>
              <w:snapToGrid/>
              <w:spacing w:line="312" w:lineRule="auto"/>
              <w:ind w:left="0" w:leftChars="0" w:right="0" w:rightChars="0" w:firstLine="0" w:firstLineChars="0"/>
              <w:jc w:val="left"/>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备注：需提供公司为技术人员缴纳社保证明材料及技术人员持有的广西壮族自治区政府采购从业人员合格证。</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B8D1">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F78E">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0719">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FFC">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r>
      <w:tr w14:paraId="65AE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98B1">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4、服务方案分</w:t>
            </w:r>
          </w:p>
          <w:p w14:paraId="78B359DB">
            <w:pPr>
              <w:pStyle w:val="2"/>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（满分35分）</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AC0A">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一档：服务方案基本满足要求。能对本项目进行简要分析，有相应的工作程序及方法，总体组织计划和措施具有一定可操作性和实施性，得0-25分；</w:t>
            </w:r>
          </w:p>
          <w:p w14:paraId="716B42A3">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二档：服务方案较完整，可操作性较强。对本次代理项目有较深入的分析，提出有针对性的工作程序、工作流程和措施，具有较高的合理性和可行性的，得26-30分；</w:t>
            </w:r>
          </w:p>
          <w:p w14:paraId="0F46868C">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outlineLvl w:val="9"/>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三档：服务方案内容充实完整,逻辑性强。方案中能够深入分析本项目的特殊性，提出合理的代理方案思路，有整套工作流程和阶段性工作安排。总体组织计划和措施可操作性强，且合理性和可行性程度高，得31-</w:t>
            </w:r>
            <w:bookmarkStart w:id="0" w:name="_GoBack"/>
            <w:bookmarkEnd w:id="0"/>
            <w:r>
              <w:rPr>
                <w:rFonts w:hint="eastAsia" w:ascii="宋体" w:hAnsi="宋体" w:eastAsia="宋体" w:cs="宋体"/>
                <w:i w:val="0"/>
                <w:iCs w:val="0"/>
                <w:color w:val="auto"/>
                <w:kern w:val="0"/>
                <w:sz w:val="21"/>
                <w:szCs w:val="21"/>
                <w:u w:val="none"/>
                <w:lang w:val="en-US" w:eastAsia="zh-CN" w:bidi="ar"/>
              </w:rPr>
              <w:t>35分。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1DC9">
            <w:pPr>
              <w:keepNext w:val="0"/>
              <w:keepLines w:val="0"/>
              <w:pageBreakBefore w:val="0"/>
              <w:widowControl/>
              <w:suppressLineNumbers w:val="0"/>
              <w:kinsoku/>
              <w:wordWrap/>
              <w:overflowPunct/>
              <w:topLinePunct w:val="0"/>
              <w:autoSpaceDE/>
              <w:autoSpaceDN/>
              <w:bidi w:val="0"/>
              <w:adjustRightInd/>
              <w:snapToGrid/>
              <w:spacing w:line="312"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344A">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8C35">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C38A">
            <w:pPr>
              <w:keepNext w:val="0"/>
              <w:keepLines w:val="0"/>
              <w:pageBreakBefore w:val="0"/>
              <w:kinsoku/>
              <w:wordWrap/>
              <w:overflowPunct/>
              <w:topLinePunct w:val="0"/>
              <w:autoSpaceDE/>
              <w:autoSpaceDN/>
              <w:bidi w:val="0"/>
              <w:adjustRightInd/>
              <w:snapToGrid/>
              <w:spacing w:line="312" w:lineRule="auto"/>
              <w:ind w:left="0" w:leftChars="0" w:right="0" w:rightChars="0" w:firstLine="0" w:firstLineChars="0"/>
              <w:rPr>
                <w:rFonts w:hint="eastAsia" w:ascii="宋体" w:hAnsi="宋体" w:eastAsia="宋体" w:cs="宋体"/>
                <w:i w:val="0"/>
                <w:iCs w:val="0"/>
                <w:color w:val="auto"/>
                <w:sz w:val="21"/>
                <w:szCs w:val="21"/>
                <w:u w:val="none"/>
              </w:rPr>
            </w:pPr>
          </w:p>
        </w:tc>
      </w:tr>
      <w:tr w14:paraId="2F4C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6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2A495">
            <w:pPr>
              <w:keepNext w:val="0"/>
              <w:keepLines w:val="0"/>
              <w:pageBreakBefore w:val="0"/>
              <w:widowControl/>
              <w:suppressLineNumbers w:val="0"/>
              <w:tabs>
                <w:tab w:val="left" w:pos="481"/>
                <w:tab w:val="right" w:pos="4624"/>
              </w:tabs>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6F7">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sz w:val="21"/>
                <w:szCs w:val="21"/>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C47A">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sz w:val="21"/>
                <w:szCs w:val="21"/>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0085">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649A">
            <w:pPr>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i w:val="0"/>
                <w:iCs w:val="0"/>
                <w:color w:val="auto"/>
                <w:sz w:val="21"/>
                <w:szCs w:val="21"/>
                <w:u w:val="none"/>
              </w:rPr>
            </w:pPr>
          </w:p>
        </w:tc>
      </w:tr>
    </w:tbl>
    <w:p w14:paraId="016EED05">
      <w:pPr>
        <w:ind w:firstLine="480" w:firstLineChars="200"/>
        <w:rPr>
          <w:rFonts w:hint="eastAsia" w:ascii="宋体" w:hAnsi="宋体" w:eastAsia="宋体" w:cs="宋体"/>
          <w:sz w:val="24"/>
          <w:szCs w:val="24"/>
          <w:lang w:val="en-US" w:eastAsia="zh-CN"/>
        </w:rPr>
      </w:pPr>
    </w:p>
    <w:p w14:paraId="5DA6C60C">
      <w:pPr>
        <w:ind w:firstLine="480" w:firstLineChars="200"/>
        <w:rPr>
          <w:rFonts w:hint="eastAsia"/>
          <w:sz w:val="28"/>
          <w:szCs w:val="28"/>
          <w:lang w:eastAsia="zh-CN"/>
        </w:rPr>
      </w:pPr>
      <w:r>
        <w:rPr>
          <w:rFonts w:hint="eastAsia" w:ascii="宋体" w:hAnsi="宋体" w:eastAsia="宋体" w:cs="宋体"/>
          <w:sz w:val="24"/>
          <w:szCs w:val="24"/>
          <w:lang w:val="en-US" w:eastAsia="zh-CN"/>
        </w:rPr>
        <w:t>评分人员签名：                                                                           日期：     年   月   日</w:t>
      </w: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F6B44"/>
    <w:multiLevelType w:val="singleLevel"/>
    <w:tmpl w:val="E08F6B44"/>
    <w:lvl w:ilvl="0" w:tentative="0">
      <w:start w:val="1"/>
      <w:numFmt w:val="decimal"/>
      <w:lvlText w:val="(%1)"/>
      <w:lvlJc w:val="left"/>
      <w:pPr>
        <w:ind w:left="425" w:hanging="425"/>
      </w:pPr>
      <w:rPr>
        <w:rFonts w:hint="default"/>
      </w:rPr>
    </w:lvl>
  </w:abstractNum>
  <w:abstractNum w:abstractNumId="1">
    <w:nsid w:val="63EF479E"/>
    <w:multiLevelType w:val="singleLevel"/>
    <w:tmpl w:val="63EF479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OTI4OTZiNmM2ODdlMjNjMGE4MjQ5YjQ0YzI0M2MifQ=="/>
  </w:docVars>
  <w:rsids>
    <w:rsidRoot w:val="00000000"/>
    <w:rsid w:val="00373D9F"/>
    <w:rsid w:val="00574512"/>
    <w:rsid w:val="01717973"/>
    <w:rsid w:val="01BF594A"/>
    <w:rsid w:val="01E20934"/>
    <w:rsid w:val="03641C0F"/>
    <w:rsid w:val="038D24A0"/>
    <w:rsid w:val="049667BC"/>
    <w:rsid w:val="053742CE"/>
    <w:rsid w:val="05F05445"/>
    <w:rsid w:val="09382165"/>
    <w:rsid w:val="095C18CA"/>
    <w:rsid w:val="0AC605A5"/>
    <w:rsid w:val="0B816568"/>
    <w:rsid w:val="0BD56773"/>
    <w:rsid w:val="0BF635FE"/>
    <w:rsid w:val="0C496627"/>
    <w:rsid w:val="0CA3315B"/>
    <w:rsid w:val="0CB85B23"/>
    <w:rsid w:val="0CC11922"/>
    <w:rsid w:val="0D6269F9"/>
    <w:rsid w:val="0E1F2456"/>
    <w:rsid w:val="0E395536"/>
    <w:rsid w:val="0E933FDD"/>
    <w:rsid w:val="0EB05CB5"/>
    <w:rsid w:val="0EF97135"/>
    <w:rsid w:val="0F48177A"/>
    <w:rsid w:val="0FEC2B84"/>
    <w:rsid w:val="104B4644"/>
    <w:rsid w:val="106937A2"/>
    <w:rsid w:val="115829FD"/>
    <w:rsid w:val="12991358"/>
    <w:rsid w:val="12DB13AC"/>
    <w:rsid w:val="12E519AE"/>
    <w:rsid w:val="13523E3B"/>
    <w:rsid w:val="13C138C7"/>
    <w:rsid w:val="14A80623"/>
    <w:rsid w:val="14B13A7D"/>
    <w:rsid w:val="14B80491"/>
    <w:rsid w:val="14D36D9F"/>
    <w:rsid w:val="15747753"/>
    <w:rsid w:val="15911BA3"/>
    <w:rsid w:val="15FC66CA"/>
    <w:rsid w:val="16DD0160"/>
    <w:rsid w:val="175D5318"/>
    <w:rsid w:val="17983204"/>
    <w:rsid w:val="17BC43E1"/>
    <w:rsid w:val="17C91E3D"/>
    <w:rsid w:val="17F60662"/>
    <w:rsid w:val="188225E9"/>
    <w:rsid w:val="19C53CE3"/>
    <w:rsid w:val="19FA5ECF"/>
    <w:rsid w:val="1A3B7CE9"/>
    <w:rsid w:val="1A546D30"/>
    <w:rsid w:val="1B2A1EDE"/>
    <w:rsid w:val="1B3A3C00"/>
    <w:rsid w:val="1B8C10C6"/>
    <w:rsid w:val="1BAB3D90"/>
    <w:rsid w:val="1BB57FEB"/>
    <w:rsid w:val="1D7C31AC"/>
    <w:rsid w:val="1DC5130C"/>
    <w:rsid w:val="1DC53ABB"/>
    <w:rsid w:val="1E266A3A"/>
    <w:rsid w:val="1F472779"/>
    <w:rsid w:val="1F807C7B"/>
    <w:rsid w:val="203A0643"/>
    <w:rsid w:val="208331A8"/>
    <w:rsid w:val="2134413C"/>
    <w:rsid w:val="218B6FA3"/>
    <w:rsid w:val="22243A2F"/>
    <w:rsid w:val="22794262"/>
    <w:rsid w:val="22850DF6"/>
    <w:rsid w:val="22F81F50"/>
    <w:rsid w:val="22FD7E4C"/>
    <w:rsid w:val="23154751"/>
    <w:rsid w:val="23826BF7"/>
    <w:rsid w:val="24213AB5"/>
    <w:rsid w:val="24541FF2"/>
    <w:rsid w:val="24774092"/>
    <w:rsid w:val="255227C5"/>
    <w:rsid w:val="258B15D7"/>
    <w:rsid w:val="26940EEC"/>
    <w:rsid w:val="269573B7"/>
    <w:rsid w:val="26CB0AE2"/>
    <w:rsid w:val="27273853"/>
    <w:rsid w:val="272F4315"/>
    <w:rsid w:val="296D0FF6"/>
    <w:rsid w:val="2A2C75C7"/>
    <w:rsid w:val="2B514BE0"/>
    <w:rsid w:val="2BBA4F3C"/>
    <w:rsid w:val="2BFD4DD0"/>
    <w:rsid w:val="2C6C3E8A"/>
    <w:rsid w:val="2D63516E"/>
    <w:rsid w:val="2D95058B"/>
    <w:rsid w:val="2DAD3107"/>
    <w:rsid w:val="2DB71F7D"/>
    <w:rsid w:val="2E831169"/>
    <w:rsid w:val="2EF361F2"/>
    <w:rsid w:val="2FD442AC"/>
    <w:rsid w:val="30865386"/>
    <w:rsid w:val="308F2C2C"/>
    <w:rsid w:val="318F6D5C"/>
    <w:rsid w:val="31A1064F"/>
    <w:rsid w:val="31AD19E6"/>
    <w:rsid w:val="31C35936"/>
    <w:rsid w:val="31F5483F"/>
    <w:rsid w:val="323A4E29"/>
    <w:rsid w:val="32CC4637"/>
    <w:rsid w:val="32DD6C7C"/>
    <w:rsid w:val="32ED67F5"/>
    <w:rsid w:val="334C325C"/>
    <w:rsid w:val="336D4A21"/>
    <w:rsid w:val="337E7F47"/>
    <w:rsid w:val="33E11A7C"/>
    <w:rsid w:val="344E66C7"/>
    <w:rsid w:val="346647DE"/>
    <w:rsid w:val="348469BB"/>
    <w:rsid w:val="34A1007F"/>
    <w:rsid w:val="34B46301"/>
    <w:rsid w:val="34FF0F7F"/>
    <w:rsid w:val="3546199D"/>
    <w:rsid w:val="357065D9"/>
    <w:rsid w:val="35DB7C28"/>
    <w:rsid w:val="366C2DFB"/>
    <w:rsid w:val="373068F3"/>
    <w:rsid w:val="37A94FEC"/>
    <w:rsid w:val="37AB06DB"/>
    <w:rsid w:val="37B409D1"/>
    <w:rsid w:val="37D9796F"/>
    <w:rsid w:val="38276545"/>
    <w:rsid w:val="38D80F5B"/>
    <w:rsid w:val="39074C33"/>
    <w:rsid w:val="390F5939"/>
    <w:rsid w:val="3991008D"/>
    <w:rsid w:val="3A381E6F"/>
    <w:rsid w:val="3A3C4CAD"/>
    <w:rsid w:val="3A484C89"/>
    <w:rsid w:val="3A690C9D"/>
    <w:rsid w:val="3AA57461"/>
    <w:rsid w:val="3B1836D6"/>
    <w:rsid w:val="3B481C04"/>
    <w:rsid w:val="3B760F75"/>
    <w:rsid w:val="3CEB16D0"/>
    <w:rsid w:val="3CF97A01"/>
    <w:rsid w:val="3D437D6D"/>
    <w:rsid w:val="3D6743DF"/>
    <w:rsid w:val="3DF25C93"/>
    <w:rsid w:val="3E01142D"/>
    <w:rsid w:val="3E1C0A76"/>
    <w:rsid w:val="3EC87FB3"/>
    <w:rsid w:val="3FD81C5A"/>
    <w:rsid w:val="3FE72AF5"/>
    <w:rsid w:val="40154A41"/>
    <w:rsid w:val="402408DF"/>
    <w:rsid w:val="40E30855"/>
    <w:rsid w:val="416D4474"/>
    <w:rsid w:val="419F5375"/>
    <w:rsid w:val="42526413"/>
    <w:rsid w:val="425511F7"/>
    <w:rsid w:val="42606171"/>
    <w:rsid w:val="429F3D9A"/>
    <w:rsid w:val="42BC383F"/>
    <w:rsid w:val="4383503D"/>
    <w:rsid w:val="43A119B0"/>
    <w:rsid w:val="4413357B"/>
    <w:rsid w:val="44DA2416"/>
    <w:rsid w:val="45181360"/>
    <w:rsid w:val="464B3B8D"/>
    <w:rsid w:val="464C73B5"/>
    <w:rsid w:val="46827EEC"/>
    <w:rsid w:val="472A26A1"/>
    <w:rsid w:val="473A0C8F"/>
    <w:rsid w:val="475965AD"/>
    <w:rsid w:val="476D1B01"/>
    <w:rsid w:val="47F1655D"/>
    <w:rsid w:val="4870750D"/>
    <w:rsid w:val="49044F6B"/>
    <w:rsid w:val="49085AF4"/>
    <w:rsid w:val="495633CD"/>
    <w:rsid w:val="499C7517"/>
    <w:rsid w:val="49AF3466"/>
    <w:rsid w:val="4AC9433B"/>
    <w:rsid w:val="4B4E114D"/>
    <w:rsid w:val="4BE31C10"/>
    <w:rsid w:val="4C61543D"/>
    <w:rsid w:val="4C6E113A"/>
    <w:rsid w:val="4CC9642C"/>
    <w:rsid w:val="4D10420A"/>
    <w:rsid w:val="4D11716A"/>
    <w:rsid w:val="4F0E710E"/>
    <w:rsid w:val="4FAF1C3D"/>
    <w:rsid w:val="5001620F"/>
    <w:rsid w:val="50973258"/>
    <w:rsid w:val="5154133F"/>
    <w:rsid w:val="515757FB"/>
    <w:rsid w:val="51FA0543"/>
    <w:rsid w:val="52153759"/>
    <w:rsid w:val="52DC6D36"/>
    <w:rsid w:val="53336CD5"/>
    <w:rsid w:val="53980966"/>
    <w:rsid w:val="53D65A3A"/>
    <w:rsid w:val="53DB0478"/>
    <w:rsid w:val="5416161D"/>
    <w:rsid w:val="54861F0F"/>
    <w:rsid w:val="557B2653"/>
    <w:rsid w:val="56585D1A"/>
    <w:rsid w:val="56944959"/>
    <w:rsid w:val="56AE4101"/>
    <w:rsid w:val="56F564C1"/>
    <w:rsid w:val="571A499A"/>
    <w:rsid w:val="57D20ED3"/>
    <w:rsid w:val="58602235"/>
    <w:rsid w:val="59977932"/>
    <w:rsid w:val="5AAB4C4F"/>
    <w:rsid w:val="5B0E7E18"/>
    <w:rsid w:val="5B691BDA"/>
    <w:rsid w:val="5B865678"/>
    <w:rsid w:val="5C2E04A2"/>
    <w:rsid w:val="5C3B4FA3"/>
    <w:rsid w:val="5C8146B9"/>
    <w:rsid w:val="5CB12E81"/>
    <w:rsid w:val="5CFF03EE"/>
    <w:rsid w:val="5D9A460F"/>
    <w:rsid w:val="5E335716"/>
    <w:rsid w:val="5EB83E7B"/>
    <w:rsid w:val="5EEE4B42"/>
    <w:rsid w:val="5EF64110"/>
    <w:rsid w:val="5F5A57B9"/>
    <w:rsid w:val="5F6F0FB2"/>
    <w:rsid w:val="601B20BE"/>
    <w:rsid w:val="60D231A9"/>
    <w:rsid w:val="60DD24E7"/>
    <w:rsid w:val="61001BD1"/>
    <w:rsid w:val="627F6841"/>
    <w:rsid w:val="6379027A"/>
    <w:rsid w:val="63D13A9A"/>
    <w:rsid w:val="6448201A"/>
    <w:rsid w:val="64D33213"/>
    <w:rsid w:val="64E76749"/>
    <w:rsid w:val="654177BE"/>
    <w:rsid w:val="65990140"/>
    <w:rsid w:val="65AC0E12"/>
    <w:rsid w:val="65E240F5"/>
    <w:rsid w:val="66390955"/>
    <w:rsid w:val="665C1FD3"/>
    <w:rsid w:val="669F6A76"/>
    <w:rsid w:val="67CA2645"/>
    <w:rsid w:val="68125FC0"/>
    <w:rsid w:val="682B3FE3"/>
    <w:rsid w:val="683E5CDC"/>
    <w:rsid w:val="685B296E"/>
    <w:rsid w:val="68857FC1"/>
    <w:rsid w:val="68D403E9"/>
    <w:rsid w:val="68D70781"/>
    <w:rsid w:val="690239C2"/>
    <w:rsid w:val="694355E3"/>
    <w:rsid w:val="69B6673B"/>
    <w:rsid w:val="6AF27E69"/>
    <w:rsid w:val="6BD61068"/>
    <w:rsid w:val="6C353391"/>
    <w:rsid w:val="6C6F3944"/>
    <w:rsid w:val="6E5C40A0"/>
    <w:rsid w:val="6E5F36C6"/>
    <w:rsid w:val="6ED21015"/>
    <w:rsid w:val="6F6A1C73"/>
    <w:rsid w:val="6FE45D3D"/>
    <w:rsid w:val="708833DE"/>
    <w:rsid w:val="70B454F0"/>
    <w:rsid w:val="70CF77D0"/>
    <w:rsid w:val="715E6E8D"/>
    <w:rsid w:val="7186681E"/>
    <w:rsid w:val="718E1842"/>
    <w:rsid w:val="725B0642"/>
    <w:rsid w:val="7384513D"/>
    <w:rsid w:val="743A0ACD"/>
    <w:rsid w:val="74677AB0"/>
    <w:rsid w:val="75BA5E25"/>
    <w:rsid w:val="760E254E"/>
    <w:rsid w:val="76C23729"/>
    <w:rsid w:val="76F517F9"/>
    <w:rsid w:val="77634034"/>
    <w:rsid w:val="779F03E1"/>
    <w:rsid w:val="77C03C8E"/>
    <w:rsid w:val="77EB32DA"/>
    <w:rsid w:val="787E44A6"/>
    <w:rsid w:val="79B610DA"/>
    <w:rsid w:val="7A072870"/>
    <w:rsid w:val="7A2527B9"/>
    <w:rsid w:val="7A3D1B60"/>
    <w:rsid w:val="7B005C9F"/>
    <w:rsid w:val="7B281C1B"/>
    <w:rsid w:val="7B315461"/>
    <w:rsid w:val="7BC64883"/>
    <w:rsid w:val="7BCD5F2D"/>
    <w:rsid w:val="7C1311B5"/>
    <w:rsid w:val="7C433145"/>
    <w:rsid w:val="7D4B0534"/>
    <w:rsid w:val="7D4E0366"/>
    <w:rsid w:val="7D6F2CED"/>
    <w:rsid w:val="7DAC4C05"/>
    <w:rsid w:val="7E56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850</Characters>
  <Lines>0</Lines>
  <Paragraphs>0</Paragraphs>
  <TotalTime>82</TotalTime>
  <ScaleCrop>false</ScaleCrop>
  <LinksUpToDate>false</LinksUpToDate>
  <CharactersWithSpaces>976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2022-07-13T00:59:00Z</dcterms:created>
  <dc:creator>Administrator</dc:creator>
  <cp:lastModifiedBy>等死的兔兔</cp:lastModifiedBy>
  <cp:lastPrinted>2025-12-08T03:28:00Z</cp:lastPrinted>
  <dcterms:modified xsi:type="dcterms:W3CDTF">2025-12-16T01:35:37Z</dcterms:modified>
  <dc:title>贺州市历史遗留矿山生态修复重大工程招标代理服务机构采购项目综合评分表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233B1A75B7074658AF4CB5C584726DF1_13</vt:lpwstr>
  </property>
  <property fmtid="{D5CDD505-2E9C-101B-9397-08002B2CF9AE}" pid="4" name="KSOTemplateDocerSaveRecord">
    <vt:lpwstr>eyJoZGlkIjoiMzk2Njk0YTUzZDIzYTFhOGVmMDkyYjBjMjZkMmU2NzEiLCJ1c2VySWQiOiIyNDk3NDg0OTYifQ==</vt:lpwstr>
  </property>
</Properties>
</file>