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720" w:firstLineChars="200"/>
        <w:jc w:val="center"/>
        <w:textAlignment w:val="auto"/>
        <w:outlineLvl w:val="9"/>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西江流域（贺州段）山水林田湖草沙一体化保护和修复工程实施方案编制招标项目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720" w:firstLineChars="20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代理服务机构评选综合评分表</w:t>
      </w:r>
    </w:p>
    <w:tbl>
      <w:tblPr>
        <w:tblStyle w:val="4"/>
        <w:tblpPr w:leftFromText="181" w:rightFromText="181" w:vertAnchor="text" w:tblpXSpec="center" w:tblpY="114"/>
        <w:tblOverlap w:val="never"/>
        <w:tblW w:w="138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8"/>
        <w:gridCol w:w="3011"/>
        <w:gridCol w:w="1954"/>
        <w:gridCol w:w="1896"/>
        <w:gridCol w:w="1886"/>
        <w:gridCol w:w="1935"/>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9"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tabs>
                <w:tab w:val="right" w:pos="2276"/>
              </w:tabs>
              <w:jc w:val="both"/>
              <w:textAlignment w:val="center"/>
              <w:rPr>
                <w:rFonts w:hint="default" w:ascii="Times New Roman" w:hAnsi="Times New Roman" w:cs="Times New Roman"/>
                <w:b/>
                <w:bCs/>
                <w:color w:val="auto"/>
                <w:sz w:val="24"/>
                <w:szCs w:val="24"/>
                <w:lang w:val="en-US" w:eastAsia="zh-CN"/>
              </w:rPr>
            </w:pP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b/>
                <w:bCs/>
                <w:color w:val="auto"/>
                <w:sz w:val="24"/>
                <w:szCs w:val="24"/>
                <w:lang w:val="en-US" w:eastAsia="zh-CN"/>
              </w:rPr>
              <w:t>公司名称</w:t>
            </w:r>
          </w:p>
          <w:p>
            <w:pPr>
              <w:pStyle w:val="2"/>
              <w:rPr>
                <w:rFonts w:hint="default" w:ascii="Times New Roman" w:hAnsi="Times New Roman" w:cs="Times New Roman"/>
                <w:color w:val="auto"/>
                <w:sz w:val="24"/>
                <w:szCs w:val="24"/>
                <w:lang w:eastAsia="zh-CN"/>
              </w:rPr>
            </w:pPr>
            <w:r>
              <w:rPr>
                <w:rFonts w:hint="default" w:ascii="Times New Roman" w:hAnsi="Times New Roman" w:eastAsia="宋体" w:cs="Times New Roman"/>
                <w:b/>
                <w:bCs/>
                <w:i w:val="0"/>
                <w:iCs w:val="0"/>
                <w:color w:val="auto"/>
                <w:sz w:val="24"/>
                <w:szCs w:val="24"/>
                <w:u w:val="none"/>
                <w:lang w:eastAsia="zh-CN"/>
              </w:rPr>
              <w:t>评分标准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imes New Roman" w:hAnsi="Times New Roman" w:eastAsia="宋体" w:cs="Times New Roman"/>
                <w:i w:val="0"/>
                <w:iCs w:val="0"/>
                <w:color w:val="auto"/>
                <w:kern w:val="0"/>
                <w:sz w:val="15"/>
                <w:szCs w:val="15"/>
                <w:u w:val="none"/>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i w:val="0"/>
                <w:iCs w:val="0"/>
                <w:color w:val="auto"/>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95" w:hRule="atLeast"/>
          <w:jc w:val="center"/>
        </w:trPr>
        <w:tc>
          <w:tcPr>
            <w:tcW w:w="1278"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tabs>
                <w:tab w:val="left" w:pos="606"/>
              </w:tabs>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价格分</w:t>
            </w:r>
          </w:p>
          <w:p>
            <w:pPr>
              <w:pStyle w:val="2"/>
              <w:keepNext w:val="0"/>
              <w:keepLines w:val="0"/>
              <w:pageBreakBefore w:val="0"/>
              <w:numPr>
                <w:ilvl w:val="0"/>
                <w:numId w:val="0"/>
              </w:numPr>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（满分20分）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606"/>
              </w:tabs>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代理服务费收费标准按《国家发展计划委员会关于印发&lt;招标代理服务收费管理暂行办法&gt;的通知》（计价格〔2002〕1980号）和《国家发改委办公厅关于招标代理服务收费有关问题的通知》（发改办价格〔2003〕857号）等相关规定计算，代理机构按计费标准的下浮率报价，得分计算公式为：下浮率*100。（最高</w:t>
            </w:r>
            <w:r>
              <w:rPr>
                <w:rFonts w:hint="eastAsia" w:ascii="Times New Roman" w:hAnsi="Times New Roman" w:eastAsia="宋体" w:cs="Times New Roman"/>
                <w:i w:val="0"/>
                <w:iCs w:val="0"/>
                <w:color w:val="auto"/>
                <w:kern w:val="0"/>
                <w:sz w:val="22"/>
                <w:szCs w:val="22"/>
                <w:u w:val="none"/>
                <w:lang w:val="en-US" w:eastAsia="zh-CN" w:bidi="ar"/>
              </w:rPr>
              <w:t>得</w:t>
            </w:r>
            <w:r>
              <w:rPr>
                <w:rFonts w:hint="default" w:ascii="Times New Roman" w:hAnsi="Times New Roman" w:eastAsia="宋体" w:cs="Times New Roman"/>
                <w:i w:val="0"/>
                <w:iCs w:val="0"/>
                <w:color w:val="auto"/>
                <w:kern w:val="0"/>
                <w:sz w:val="22"/>
                <w:szCs w:val="22"/>
                <w:u w:val="none"/>
                <w:lang w:val="en-US" w:eastAsia="zh-CN" w:bidi="ar"/>
              </w:rPr>
              <w:t>20分）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7" w:hRule="atLeast"/>
          <w:jc w:val="center"/>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2、业绩分</w:t>
            </w:r>
          </w:p>
          <w:p>
            <w:pPr>
              <w:pStyle w:val="2"/>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eastAsia="宋体" w:cs="Times New Roman"/>
                <w:i w:val="0"/>
                <w:iCs w:val="0"/>
                <w:color w:val="auto"/>
                <w:sz w:val="22"/>
                <w:szCs w:val="22"/>
                <w:u w:val="none"/>
                <w:lang w:val="en-US" w:eastAsia="zh-CN"/>
              </w:rPr>
              <w:t>（满分30分）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基础分</w:t>
            </w:r>
            <w:r>
              <w:rPr>
                <w:rFonts w:hint="eastAsia" w:ascii="Times New Roman" w:hAnsi="Times New Roman" w:eastAsia="宋体" w:cs="Times New Roman"/>
                <w:i w:val="0"/>
                <w:iCs w:val="0"/>
                <w:color w:val="auto"/>
                <w:kern w:val="0"/>
                <w:sz w:val="22"/>
                <w:szCs w:val="22"/>
                <w:u w:val="none"/>
                <w:lang w:val="en-US" w:eastAsia="zh-CN" w:bidi="ar"/>
              </w:rPr>
              <w:t>（10分）</w:t>
            </w:r>
            <w:r>
              <w:rPr>
                <w:rFonts w:hint="default" w:ascii="Times New Roman" w:hAnsi="Times New Roman" w:eastAsia="宋体" w:cs="Times New Roman"/>
                <w:i w:val="0"/>
                <w:iCs w:val="0"/>
                <w:color w:val="auto"/>
                <w:kern w:val="0"/>
                <w:sz w:val="22"/>
                <w:szCs w:val="22"/>
                <w:u w:val="none"/>
                <w:lang w:val="en-US" w:eastAsia="zh-CN" w:bidi="ar"/>
              </w:rPr>
              <w:t>。近3年（2022年11月至今）代理项目</w:t>
            </w:r>
            <w:r>
              <w:rPr>
                <w:rFonts w:hint="eastAsia" w:ascii="Times New Roman" w:hAnsi="Times New Roman" w:eastAsia="宋体" w:cs="Times New Roman"/>
                <w:i w:val="0"/>
                <w:iCs w:val="0"/>
                <w:color w:val="auto"/>
                <w:kern w:val="0"/>
                <w:sz w:val="22"/>
                <w:szCs w:val="22"/>
                <w:u w:val="none"/>
                <w:lang w:val="en-US" w:eastAsia="zh-CN" w:bidi="ar"/>
              </w:rPr>
              <w:t>数量达到10个</w:t>
            </w:r>
            <w:r>
              <w:rPr>
                <w:rFonts w:hint="default" w:ascii="Times New Roman" w:hAnsi="Times New Roman" w:eastAsia="宋体" w:cs="Times New Roman"/>
                <w:i w:val="0"/>
                <w:iCs w:val="0"/>
                <w:color w:val="auto"/>
                <w:kern w:val="0"/>
                <w:sz w:val="22"/>
                <w:szCs w:val="22"/>
                <w:u w:val="none"/>
                <w:lang w:val="en-US" w:eastAsia="zh-CN" w:bidi="ar"/>
              </w:rPr>
              <w:t>的得10分</w:t>
            </w:r>
            <w:r>
              <w:rPr>
                <w:rFonts w:hint="eastAsia" w:ascii="Times New Roman" w:hAnsi="Times New Roman" w:eastAsia="宋体" w:cs="Times New Roman"/>
                <w:i w:val="0"/>
                <w:iCs w:val="0"/>
                <w:color w:val="auto"/>
                <w:kern w:val="0"/>
                <w:sz w:val="22"/>
                <w:szCs w:val="22"/>
                <w:u w:val="none"/>
                <w:lang w:val="en-US" w:eastAsia="zh-CN" w:bidi="ar"/>
              </w:rPr>
              <w:t>，每少1个扣1分，扣完为止</w:t>
            </w:r>
            <w:r>
              <w:rPr>
                <w:rFonts w:hint="default" w:ascii="Times New Roman" w:hAnsi="Times New Roman" w:eastAsia="宋体" w:cs="Times New Roman"/>
                <w:i w:val="0"/>
                <w:iCs w:val="0"/>
                <w:color w:val="auto"/>
                <w:kern w:val="0"/>
                <w:sz w:val="22"/>
                <w:szCs w:val="22"/>
                <w:u w:val="none"/>
                <w:lang w:val="en-US" w:eastAsia="zh-CN" w:bidi="ar"/>
              </w:rPr>
              <w:t>（需提供代理服务</w:t>
            </w:r>
            <w:r>
              <w:rPr>
                <w:rFonts w:hint="eastAsia" w:ascii="Times New Roman" w:hAnsi="Times New Roman" w:eastAsia="宋体" w:cs="Times New Roman"/>
                <w:i w:val="0"/>
                <w:iCs w:val="0"/>
                <w:color w:val="auto"/>
                <w:kern w:val="0"/>
                <w:sz w:val="22"/>
                <w:szCs w:val="22"/>
                <w:u w:val="none"/>
                <w:lang w:val="en-US" w:eastAsia="zh-CN" w:bidi="ar"/>
              </w:rPr>
              <w:t>协议或</w:t>
            </w:r>
            <w:r>
              <w:rPr>
                <w:rFonts w:hint="default" w:ascii="Times New Roman" w:hAnsi="Times New Roman" w:eastAsia="宋体" w:cs="Times New Roman"/>
                <w:i w:val="0"/>
                <w:iCs w:val="0"/>
                <w:color w:val="auto"/>
                <w:kern w:val="0"/>
                <w:sz w:val="22"/>
                <w:szCs w:val="22"/>
                <w:u w:val="none"/>
                <w:lang w:val="en-US" w:eastAsia="zh-CN" w:bidi="ar"/>
              </w:rPr>
              <w:t>合同）</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5" w:hRule="atLeast"/>
          <w:jc w:val="center"/>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2"/>
                <w:szCs w:val="22"/>
                <w:u w:val="none"/>
                <w:lang w:val="en-US" w:eastAsia="zh-CN"/>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加分</w:t>
            </w:r>
            <w:r>
              <w:rPr>
                <w:rFonts w:hint="eastAsia" w:ascii="Times New Roman" w:hAnsi="Times New Roman" w:cs="Times New Roman"/>
                <w:color w:val="auto"/>
                <w:sz w:val="22"/>
                <w:szCs w:val="22"/>
                <w:lang w:val="en-US" w:eastAsia="zh-CN"/>
              </w:rPr>
              <w:t>（20分）</w:t>
            </w:r>
            <w:r>
              <w:rPr>
                <w:rFonts w:hint="default" w:ascii="Times New Roman" w:hAnsi="Times New Roman" w:cs="Times New Roman"/>
                <w:color w:val="auto"/>
                <w:sz w:val="22"/>
                <w:szCs w:val="22"/>
                <w:lang w:val="en-US" w:eastAsia="zh-CN"/>
              </w:rPr>
              <w:t>。近3年（2022年11月至今）代理过的项目中标金额400万元-1000万元（不含）的每个加2分（最高8分），中标金额1000万元及以上的每个加</w:t>
            </w:r>
            <w:r>
              <w:rPr>
                <w:rFonts w:hint="eastAsia" w:ascii="Times New Roman" w:hAnsi="Times New Roman" w:cs="Times New Roman"/>
                <w:color w:val="auto"/>
                <w:sz w:val="22"/>
                <w:szCs w:val="22"/>
                <w:lang w:val="en-US" w:eastAsia="zh-CN"/>
              </w:rPr>
              <w:t>3</w:t>
            </w:r>
            <w:r>
              <w:rPr>
                <w:rFonts w:hint="default" w:ascii="Times New Roman" w:hAnsi="Times New Roman" w:cs="Times New Roman"/>
                <w:color w:val="auto"/>
                <w:sz w:val="22"/>
                <w:szCs w:val="22"/>
                <w:lang w:val="en-US" w:eastAsia="zh-CN"/>
              </w:rPr>
              <w:t>分（最高12分）。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1"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numPr>
                <w:ilvl w:val="0"/>
                <w:numId w:val="0"/>
              </w:numPr>
              <w:kinsoku/>
              <w:wordWrap/>
              <w:overflowPunct/>
              <w:topLinePunct w:val="0"/>
              <w:autoSpaceDE/>
              <w:autoSpaceDN/>
              <w:bidi w:val="0"/>
              <w:adjustRightInd/>
              <w:snapToGrid/>
              <w:spacing w:line="260" w:lineRule="exact"/>
              <w:ind w:leftChars="0" w:right="0" w:rightChars="0"/>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3、</w:t>
            </w:r>
            <w:r>
              <w:rPr>
                <w:rFonts w:hint="default" w:ascii="Times New Roman" w:hAnsi="Times New Roman" w:cs="Times New Roman"/>
                <w:color w:val="auto"/>
                <w:sz w:val="22"/>
                <w:szCs w:val="22"/>
                <w:lang w:val="en-US" w:eastAsia="zh-CN"/>
              </w:rPr>
              <w:t>投入人员分</w:t>
            </w:r>
          </w:p>
          <w:p>
            <w:pPr>
              <w:keepNext w:val="0"/>
              <w:keepLines w:val="0"/>
              <w:pageBreakBefore w:val="0"/>
              <w:numPr>
                <w:ilvl w:val="0"/>
                <w:numId w:val="0"/>
              </w:numPr>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（满分15分）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①拟投入技术人员3-4人的，得</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lang w:val="en-US" w:eastAsia="zh-CN"/>
              </w:rPr>
              <w:t>分；</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②拟投入技术人员4-5人的，得</w:t>
            </w:r>
            <w:r>
              <w:rPr>
                <w:rFonts w:hint="eastAsia" w:ascii="Times New Roman" w:hAnsi="Times New Roman" w:cs="Times New Roman"/>
                <w:color w:val="auto"/>
                <w:sz w:val="22"/>
                <w:szCs w:val="22"/>
                <w:lang w:val="en-US" w:eastAsia="zh-CN"/>
              </w:rPr>
              <w:t>10</w:t>
            </w:r>
            <w:r>
              <w:rPr>
                <w:rFonts w:hint="default" w:ascii="Times New Roman" w:hAnsi="Times New Roman" w:cs="Times New Roman"/>
                <w:color w:val="auto"/>
                <w:sz w:val="22"/>
                <w:szCs w:val="22"/>
                <w:lang w:val="en-US" w:eastAsia="zh-CN"/>
              </w:rPr>
              <w:t>分；</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③</w:t>
            </w:r>
            <w:r>
              <w:rPr>
                <w:rFonts w:hint="default" w:ascii="Times New Roman" w:hAnsi="Times New Roman" w:cs="Times New Roman"/>
                <w:color w:val="auto"/>
                <w:sz w:val="22"/>
                <w:szCs w:val="22"/>
                <w:lang w:val="en-US" w:eastAsia="zh-CN"/>
              </w:rPr>
              <w:t>拟投入技术人员6人及以上的，得1</w:t>
            </w:r>
            <w:r>
              <w:rPr>
                <w:rFonts w:hint="eastAsia" w:ascii="Times New Roman" w:hAnsi="Times New Roman" w:cs="Times New Roman"/>
                <w:color w:val="auto"/>
                <w:sz w:val="22"/>
                <w:szCs w:val="22"/>
                <w:lang w:val="en-US" w:eastAsia="zh-CN"/>
              </w:rPr>
              <w:t>5</w:t>
            </w:r>
            <w:r>
              <w:rPr>
                <w:rFonts w:hint="default" w:ascii="Times New Roman" w:hAnsi="Times New Roman" w:cs="Times New Roman"/>
                <w:color w:val="auto"/>
                <w:sz w:val="22"/>
                <w:szCs w:val="22"/>
                <w:lang w:val="en-US" w:eastAsia="zh-CN"/>
              </w:rPr>
              <w:t>分。</w:t>
            </w:r>
          </w:p>
          <w:p>
            <w:pPr>
              <w:pStyle w:val="2"/>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left"/>
              <w:outlineLvl w:val="9"/>
              <w:rPr>
                <w:rFonts w:hint="default" w:ascii="Times New Roman" w:hAnsi="Times New Roman" w:cs="Times New Roman"/>
                <w:color w:val="auto"/>
                <w:sz w:val="22"/>
                <w:szCs w:val="22"/>
                <w:lang w:val="en-US" w:eastAsia="zh-CN"/>
              </w:rPr>
            </w:pPr>
            <w:r>
              <w:rPr>
                <w:rFonts w:hint="default" w:ascii="Times New Roman" w:hAnsi="Times New Roman" w:eastAsia="宋体" w:cs="Times New Roman"/>
                <w:color w:val="auto"/>
                <w:sz w:val="22"/>
                <w:szCs w:val="22"/>
                <w:highlight w:val="none"/>
                <w:lang w:val="en-US" w:eastAsia="zh-CN"/>
              </w:rPr>
              <w:t>备注：需提供公司为技术人员缴纳社保证明材料及技术人员持有的政府采购从业人员培训合格证书。</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0" w:hRule="atLeast"/>
          <w:jc w:val="center"/>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4、</w:t>
            </w:r>
            <w:r>
              <w:rPr>
                <w:rFonts w:hint="default" w:ascii="Times New Roman" w:hAnsi="Times New Roman" w:cs="Times New Roman"/>
                <w:color w:val="auto"/>
                <w:sz w:val="22"/>
                <w:szCs w:val="22"/>
                <w:lang w:val="en-US" w:eastAsia="zh-CN"/>
              </w:rPr>
              <w:t>服务方案分</w:t>
            </w:r>
          </w:p>
          <w:p>
            <w:pPr>
              <w:pStyle w:val="2"/>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cs="Times New Roman"/>
                <w:color w:val="auto"/>
                <w:sz w:val="22"/>
                <w:szCs w:val="22"/>
                <w:lang w:val="en-US" w:eastAsia="zh-CN"/>
              </w:rPr>
            </w:pPr>
            <w:r>
              <w:rPr>
                <w:rFonts w:hint="default" w:ascii="Times New Roman" w:hAnsi="Times New Roman" w:eastAsia="宋体" w:cs="Times New Roman"/>
                <w:b w:val="0"/>
                <w:bCs w:val="0"/>
                <w:i w:val="0"/>
                <w:iCs w:val="0"/>
                <w:color w:val="auto"/>
                <w:kern w:val="0"/>
                <w:sz w:val="22"/>
                <w:szCs w:val="22"/>
                <w:highlight w:val="none"/>
                <w:u w:val="none"/>
                <w:lang w:val="en-US" w:eastAsia="zh-CN" w:bidi="ar"/>
              </w:rPr>
              <w:t>（满分</w:t>
            </w:r>
            <w:r>
              <w:rPr>
                <w:rFonts w:hint="eastAsia" w:ascii="Times New Roman" w:hAnsi="Times New Roman" w:eastAsia="宋体" w:cs="Times New Roman"/>
                <w:b w:val="0"/>
                <w:bCs w:val="0"/>
                <w:i w:val="0"/>
                <w:iCs w:val="0"/>
                <w:color w:val="auto"/>
                <w:kern w:val="0"/>
                <w:sz w:val="22"/>
                <w:szCs w:val="22"/>
                <w:highlight w:val="none"/>
                <w:u w:val="none"/>
                <w:lang w:val="en-US" w:eastAsia="zh-CN" w:bidi="ar"/>
              </w:rPr>
              <w:t>35</w:t>
            </w:r>
            <w:r>
              <w:rPr>
                <w:rFonts w:hint="default" w:ascii="Times New Roman" w:hAnsi="Times New Roman" w:eastAsia="宋体" w:cs="Times New Roman"/>
                <w:b w:val="0"/>
                <w:bCs w:val="0"/>
                <w:i w:val="0"/>
                <w:iCs w:val="0"/>
                <w:color w:val="auto"/>
                <w:kern w:val="0"/>
                <w:sz w:val="22"/>
                <w:szCs w:val="22"/>
                <w:highlight w:val="none"/>
                <w:u w:val="none"/>
                <w:lang w:val="en-US" w:eastAsia="zh-CN" w:bidi="ar"/>
              </w:rPr>
              <w:t>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一档：服务方案基本满足要求。能对本项目进行简要分析，有相应的工作程序及方法，总体组织计划和措施具有一定可操作性和实施性，得2</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宋体" w:cs="Times New Roman"/>
                <w:i w:val="0"/>
                <w:iCs w:val="0"/>
                <w:color w:val="auto"/>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二挡：服务方案较完整，可操作性较强。对本次代理项目有较深入的分析，提出有针对性的工作程序、工作流程和措施，具有较高的合理性和可行性的，得</w:t>
            </w:r>
            <w:r>
              <w:rPr>
                <w:rFonts w:hint="eastAsia" w:ascii="Times New Roman" w:hAnsi="Times New Roman" w:eastAsia="宋体" w:cs="Times New Roman"/>
                <w:i w:val="0"/>
                <w:iCs w:val="0"/>
                <w:color w:val="auto"/>
                <w:kern w:val="0"/>
                <w:sz w:val="22"/>
                <w:szCs w:val="22"/>
                <w:u w:val="none"/>
                <w:lang w:val="en-US" w:eastAsia="zh-CN" w:bidi="ar"/>
              </w:rPr>
              <w:t>30</w:t>
            </w:r>
            <w:r>
              <w:rPr>
                <w:rFonts w:hint="default" w:ascii="Times New Roman" w:hAnsi="Times New Roman" w:eastAsia="宋体" w:cs="Times New Roman"/>
                <w:i w:val="0"/>
                <w:iCs w:val="0"/>
                <w:color w:val="auto"/>
                <w:kern w:val="0"/>
                <w:sz w:val="22"/>
                <w:szCs w:val="22"/>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outlineLvl w:val="9"/>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三挡：服务方案内容充实完整,逻辑性强。方案中能够深入分析本项目的特殊性，提出合理的代理方案思路，有整套工作流程和阶段性工作安排。总体组织计划和措施可操作性强，且合理性和可行性程度高，得</w:t>
            </w:r>
            <w:r>
              <w:rPr>
                <w:rFonts w:hint="eastAsia" w:ascii="Times New Roman" w:hAnsi="Times New Roman" w:eastAsia="宋体" w:cs="Times New Roman"/>
                <w:i w:val="0"/>
                <w:iCs w:val="0"/>
                <w:color w:val="auto"/>
                <w:kern w:val="0"/>
                <w:sz w:val="22"/>
                <w:szCs w:val="22"/>
                <w:u w:val="none"/>
                <w:lang w:val="en-US" w:eastAsia="zh-CN" w:bidi="ar"/>
              </w:rPr>
              <w:t>35</w:t>
            </w:r>
            <w:r>
              <w:rPr>
                <w:rFonts w:hint="default" w:ascii="Times New Roman" w:hAnsi="Times New Roman" w:eastAsia="宋体" w:cs="Times New Roman"/>
                <w:i w:val="0"/>
                <w:iCs w:val="0"/>
                <w:color w:val="auto"/>
                <w:kern w:val="0"/>
                <w:sz w:val="22"/>
                <w:szCs w:val="22"/>
                <w:u w:val="none"/>
                <w:lang w:val="en-US" w:eastAsia="zh-CN" w:bidi="ar"/>
              </w:rPr>
              <w:t>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left"/>
              <w:textAlignment w:val="center"/>
              <w:rPr>
                <w:rFonts w:hint="default" w:ascii="Times New Roman" w:hAnsi="Times New Roman" w:eastAsia="宋体" w:cs="Times New Roman"/>
                <w:i w:val="0"/>
                <w:iCs w:val="0"/>
                <w:color w:val="auto"/>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rPr>
                <w:rFonts w:hint="default" w:ascii="Times New Roman" w:hAnsi="Times New Roman" w:eastAsia="宋体"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2" w:hRule="atLeast"/>
          <w:jc w:val="center"/>
        </w:trPr>
        <w:tc>
          <w:tcPr>
            <w:tcW w:w="4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481"/>
                <w:tab w:val="right" w:pos="4624"/>
              </w:tabs>
              <w:kinsoku/>
              <w:wordWrap/>
              <w:overflowPunct/>
              <w:topLinePunct w:val="0"/>
              <w:autoSpaceDE/>
              <w:autoSpaceDN/>
              <w:bidi w:val="0"/>
              <w:adjustRightInd/>
              <w:snapToGrid/>
              <w:spacing w:line="120" w:lineRule="auto"/>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总分：</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4"/>
                <w:szCs w:val="24"/>
                <w:u w:val="none"/>
              </w:rPr>
            </w:pPr>
          </w:p>
        </w:tc>
      </w:tr>
    </w:tbl>
    <w:p>
      <w:pPr>
        <w:pStyle w:val="2"/>
        <w:rPr>
          <w:rFonts w:hint="eastAsia"/>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eastAsia="zh-CN"/>
        </w:rPr>
      </w:pPr>
      <w:r>
        <w:rPr>
          <w:rFonts w:hint="eastAsia"/>
          <w:sz w:val="28"/>
          <w:szCs w:val="28"/>
          <w:lang w:val="en-US" w:eastAsia="zh-CN"/>
        </w:rPr>
        <w:t>评分人员签名：                                                               日期：     年   月   日</w:t>
      </w:r>
    </w:p>
    <w:sectPr>
      <w:pgSz w:w="16838" w:h="11906" w:orient="landscape"/>
      <w:pgMar w:top="567" w:right="567" w:bottom="567" w:left="56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FangSong_GB2312">
    <w:altName w:val="仿宋"/>
    <w:panose1 w:val="00000000000000000000"/>
    <w:charset w:val="86"/>
    <w:family w:val="auto"/>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F479E"/>
    <w:multiLevelType w:val="singleLevel"/>
    <w:tmpl w:val="63EF47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3D9F"/>
    <w:rsid w:val="00574512"/>
    <w:rsid w:val="01717973"/>
    <w:rsid w:val="01BF594A"/>
    <w:rsid w:val="01E20934"/>
    <w:rsid w:val="03641C0F"/>
    <w:rsid w:val="038D24A0"/>
    <w:rsid w:val="049667BC"/>
    <w:rsid w:val="053742CE"/>
    <w:rsid w:val="05F05445"/>
    <w:rsid w:val="09382165"/>
    <w:rsid w:val="0AC605A5"/>
    <w:rsid w:val="0B816568"/>
    <w:rsid w:val="0BD56773"/>
    <w:rsid w:val="0BF635FE"/>
    <w:rsid w:val="0C496627"/>
    <w:rsid w:val="0CA3315B"/>
    <w:rsid w:val="0CB85B23"/>
    <w:rsid w:val="0CC11922"/>
    <w:rsid w:val="0D6269F9"/>
    <w:rsid w:val="0E1F2456"/>
    <w:rsid w:val="0E395536"/>
    <w:rsid w:val="0E933FDD"/>
    <w:rsid w:val="0EB05CB5"/>
    <w:rsid w:val="0EF97135"/>
    <w:rsid w:val="0F48177A"/>
    <w:rsid w:val="0FEC2B84"/>
    <w:rsid w:val="104B4644"/>
    <w:rsid w:val="106937A2"/>
    <w:rsid w:val="115829FD"/>
    <w:rsid w:val="12DB13AC"/>
    <w:rsid w:val="12E519AE"/>
    <w:rsid w:val="13523E3B"/>
    <w:rsid w:val="13C138C7"/>
    <w:rsid w:val="14A80623"/>
    <w:rsid w:val="14B13A7D"/>
    <w:rsid w:val="14B80491"/>
    <w:rsid w:val="14D36D9F"/>
    <w:rsid w:val="15747753"/>
    <w:rsid w:val="15911BA3"/>
    <w:rsid w:val="15FC66CA"/>
    <w:rsid w:val="16DD0160"/>
    <w:rsid w:val="175D5318"/>
    <w:rsid w:val="17983204"/>
    <w:rsid w:val="17BC43E1"/>
    <w:rsid w:val="17C91E3D"/>
    <w:rsid w:val="17F60662"/>
    <w:rsid w:val="188225E9"/>
    <w:rsid w:val="19C53CE3"/>
    <w:rsid w:val="19FA5ECF"/>
    <w:rsid w:val="1A3B7CE9"/>
    <w:rsid w:val="1A546D30"/>
    <w:rsid w:val="1B2A1EDE"/>
    <w:rsid w:val="1B3A3C00"/>
    <w:rsid w:val="1B8C10C6"/>
    <w:rsid w:val="1BAB3D90"/>
    <w:rsid w:val="1BB57FEB"/>
    <w:rsid w:val="1D7C31AC"/>
    <w:rsid w:val="1DC5130C"/>
    <w:rsid w:val="1E266A3A"/>
    <w:rsid w:val="1F472779"/>
    <w:rsid w:val="203A0643"/>
    <w:rsid w:val="208331A8"/>
    <w:rsid w:val="2134413C"/>
    <w:rsid w:val="218B6FA3"/>
    <w:rsid w:val="22243A2F"/>
    <w:rsid w:val="22794262"/>
    <w:rsid w:val="22850DF6"/>
    <w:rsid w:val="22F81F50"/>
    <w:rsid w:val="22FD7E4C"/>
    <w:rsid w:val="23154751"/>
    <w:rsid w:val="23826BF7"/>
    <w:rsid w:val="24213AB5"/>
    <w:rsid w:val="24541FF2"/>
    <w:rsid w:val="24774092"/>
    <w:rsid w:val="255227C5"/>
    <w:rsid w:val="258B15D7"/>
    <w:rsid w:val="26940EEC"/>
    <w:rsid w:val="269573B7"/>
    <w:rsid w:val="26CB0AE2"/>
    <w:rsid w:val="27273853"/>
    <w:rsid w:val="272F4315"/>
    <w:rsid w:val="296D0FF6"/>
    <w:rsid w:val="2A2C75C7"/>
    <w:rsid w:val="2BBA4F3C"/>
    <w:rsid w:val="2BFD4DD0"/>
    <w:rsid w:val="2C6C3E8A"/>
    <w:rsid w:val="2D63516E"/>
    <w:rsid w:val="2D95058B"/>
    <w:rsid w:val="2DAD3107"/>
    <w:rsid w:val="2DB71F7D"/>
    <w:rsid w:val="2E831169"/>
    <w:rsid w:val="2EF361F2"/>
    <w:rsid w:val="30865386"/>
    <w:rsid w:val="308F2C2C"/>
    <w:rsid w:val="31A1064F"/>
    <w:rsid w:val="31AD19E6"/>
    <w:rsid w:val="31F5483F"/>
    <w:rsid w:val="323A4E29"/>
    <w:rsid w:val="32CC4637"/>
    <w:rsid w:val="32DD6C7C"/>
    <w:rsid w:val="32ED67F5"/>
    <w:rsid w:val="334C325C"/>
    <w:rsid w:val="336D4A21"/>
    <w:rsid w:val="337E7F47"/>
    <w:rsid w:val="33E11A7C"/>
    <w:rsid w:val="344E66C7"/>
    <w:rsid w:val="346647DE"/>
    <w:rsid w:val="348469BB"/>
    <w:rsid w:val="34A1007F"/>
    <w:rsid w:val="34B46301"/>
    <w:rsid w:val="34FF0F7F"/>
    <w:rsid w:val="3546199D"/>
    <w:rsid w:val="357065D9"/>
    <w:rsid w:val="35DB7C28"/>
    <w:rsid w:val="366C2DFB"/>
    <w:rsid w:val="373068F3"/>
    <w:rsid w:val="37A94FEC"/>
    <w:rsid w:val="37AB06DB"/>
    <w:rsid w:val="38276545"/>
    <w:rsid w:val="38D80F5B"/>
    <w:rsid w:val="39074C33"/>
    <w:rsid w:val="390F5939"/>
    <w:rsid w:val="3991008D"/>
    <w:rsid w:val="3A381E6F"/>
    <w:rsid w:val="3A484C89"/>
    <w:rsid w:val="3A690C9D"/>
    <w:rsid w:val="3AA57461"/>
    <w:rsid w:val="3B1836D6"/>
    <w:rsid w:val="3B481C04"/>
    <w:rsid w:val="3B760F75"/>
    <w:rsid w:val="3CEB16D0"/>
    <w:rsid w:val="3CF97A01"/>
    <w:rsid w:val="3D437D6D"/>
    <w:rsid w:val="3D6743DF"/>
    <w:rsid w:val="3DF25C93"/>
    <w:rsid w:val="3E01142D"/>
    <w:rsid w:val="3E1C0A76"/>
    <w:rsid w:val="3EC87FB3"/>
    <w:rsid w:val="3FD81C5A"/>
    <w:rsid w:val="3FE72AF5"/>
    <w:rsid w:val="40154A41"/>
    <w:rsid w:val="402408DF"/>
    <w:rsid w:val="40E30855"/>
    <w:rsid w:val="416D4474"/>
    <w:rsid w:val="419F5375"/>
    <w:rsid w:val="42526413"/>
    <w:rsid w:val="425511F7"/>
    <w:rsid w:val="429F3D9A"/>
    <w:rsid w:val="4383503D"/>
    <w:rsid w:val="43A119B0"/>
    <w:rsid w:val="4413357B"/>
    <w:rsid w:val="44DA2416"/>
    <w:rsid w:val="45181360"/>
    <w:rsid w:val="464B3B8D"/>
    <w:rsid w:val="464C73B5"/>
    <w:rsid w:val="472A26A1"/>
    <w:rsid w:val="473A0C8F"/>
    <w:rsid w:val="475965AD"/>
    <w:rsid w:val="476D1B01"/>
    <w:rsid w:val="47F1655D"/>
    <w:rsid w:val="4870750D"/>
    <w:rsid w:val="49044F6B"/>
    <w:rsid w:val="49085AF4"/>
    <w:rsid w:val="49AF3466"/>
    <w:rsid w:val="4B4E114D"/>
    <w:rsid w:val="4BE31C10"/>
    <w:rsid w:val="4C61543D"/>
    <w:rsid w:val="4C6E113A"/>
    <w:rsid w:val="4CC9642C"/>
    <w:rsid w:val="4D10420A"/>
    <w:rsid w:val="4D11716A"/>
    <w:rsid w:val="4F0E710E"/>
    <w:rsid w:val="4FAF1C3D"/>
    <w:rsid w:val="5001620F"/>
    <w:rsid w:val="50973258"/>
    <w:rsid w:val="5154133F"/>
    <w:rsid w:val="515757FB"/>
    <w:rsid w:val="51FA0543"/>
    <w:rsid w:val="52153759"/>
    <w:rsid w:val="52DC6D36"/>
    <w:rsid w:val="53336CD5"/>
    <w:rsid w:val="53980966"/>
    <w:rsid w:val="53D65A3A"/>
    <w:rsid w:val="53DB0478"/>
    <w:rsid w:val="5416161D"/>
    <w:rsid w:val="54861F0F"/>
    <w:rsid w:val="557B2653"/>
    <w:rsid w:val="56585D1A"/>
    <w:rsid w:val="56944959"/>
    <w:rsid w:val="56AE4101"/>
    <w:rsid w:val="56F564C1"/>
    <w:rsid w:val="571A499A"/>
    <w:rsid w:val="57D20ED3"/>
    <w:rsid w:val="58602235"/>
    <w:rsid w:val="59977932"/>
    <w:rsid w:val="5AAB4C4F"/>
    <w:rsid w:val="5B0E7E18"/>
    <w:rsid w:val="5B691BDA"/>
    <w:rsid w:val="5B865678"/>
    <w:rsid w:val="5C3B4FA3"/>
    <w:rsid w:val="5C8146B9"/>
    <w:rsid w:val="5CFF03EE"/>
    <w:rsid w:val="5D9A460F"/>
    <w:rsid w:val="5E335716"/>
    <w:rsid w:val="5EB83E7B"/>
    <w:rsid w:val="5EEE4B42"/>
    <w:rsid w:val="5EF64110"/>
    <w:rsid w:val="5F5A57B9"/>
    <w:rsid w:val="5F6F0FB2"/>
    <w:rsid w:val="601B20BE"/>
    <w:rsid w:val="60D231A9"/>
    <w:rsid w:val="60DD24E7"/>
    <w:rsid w:val="61001BD1"/>
    <w:rsid w:val="627F6841"/>
    <w:rsid w:val="6379027A"/>
    <w:rsid w:val="63D13A9A"/>
    <w:rsid w:val="6448201A"/>
    <w:rsid w:val="64D33213"/>
    <w:rsid w:val="64E76749"/>
    <w:rsid w:val="654177BE"/>
    <w:rsid w:val="65990140"/>
    <w:rsid w:val="65AC0E12"/>
    <w:rsid w:val="65E240F5"/>
    <w:rsid w:val="66390955"/>
    <w:rsid w:val="665C1FD3"/>
    <w:rsid w:val="669F6A76"/>
    <w:rsid w:val="67CA2645"/>
    <w:rsid w:val="68125FC0"/>
    <w:rsid w:val="682B3FE3"/>
    <w:rsid w:val="683E5CDC"/>
    <w:rsid w:val="685B296E"/>
    <w:rsid w:val="68857FC1"/>
    <w:rsid w:val="68D403E9"/>
    <w:rsid w:val="68D70781"/>
    <w:rsid w:val="690239C2"/>
    <w:rsid w:val="694355E3"/>
    <w:rsid w:val="69B6673B"/>
    <w:rsid w:val="6BD61068"/>
    <w:rsid w:val="6C353391"/>
    <w:rsid w:val="6C6F3944"/>
    <w:rsid w:val="6E5C40A0"/>
    <w:rsid w:val="6E5F36C6"/>
    <w:rsid w:val="6ED21015"/>
    <w:rsid w:val="6F6A1C73"/>
    <w:rsid w:val="6FE45D3D"/>
    <w:rsid w:val="708833DE"/>
    <w:rsid w:val="70B454F0"/>
    <w:rsid w:val="70CF77D0"/>
    <w:rsid w:val="715E6E8D"/>
    <w:rsid w:val="7186681E"/>
    <w:rsid w:val="725B0642"/>
    <w:rsid w:val="7384513D"/>
    <w:rsid w:val="743A0ACD"/>
    <w:rsid w:val="74677AB0"/>
    <w:rsid w:val="75BA5E25"/>
    <w:rsid w:val="760E254E"/>
    <w:rsid w:val="76C23729"/>
    <w:rsid w:val="76F517F9"/>
    <w:rsid w:val="77634034"/>
    <w:rsid w:val="779F03E1"/>
    <w:rsid w:val="77C03C8E"/>
    <w:rsid w:val="77EB32DA"/>
    <w:rsid w:val="787E44A6"/>
    <w:rsid w:val="79B610DA"/>
    <w:rsid w:val="7A072870"/>
    <w:rsid w:val="7A2527B9"/>
    <w:rsid w:val="7A3D1B60"/>
    <w:rsid w:val="7B005C9F"/>
    <w:rsid w:val="7B281C1B"/>
    <w:rsid w:val="7BC64883"/>
    <w:rsid w:val="7BCD5F2D"/>
    <w:rsid w:val="7C1311B5"/>
    <w:rsid w:val="7C433145"/>
    <w:rsid w:val="7D4B0534"/>
    <w:rsid w:val="7D4E0366"/>
    <w:rsid w:val="7D6F2CED"/>
    <w:rsid w:val="7DAC4C05"/>
    <w:rsid w:val="7E56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2022-07-13T00:59:00Z</dcterms:created>
  <dc:creator>Administrator</dc:creator>
  <cp:lastModifiedBy>xieboss777</cp:lastModifiedBy>
  <cp:lastPrinted>2025-11-28T00:48:00Z</cp:lastPrinted>
  <dcterms:modified xsi:type="dcterms:W3CDTF">2025-11-28T12:00:14Z</dcterms:modified>
  <dc:title>贺州市历史遗留矿山生态修复重大工程招标代理服务机构采购项目综合评分表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E14BD8A668454C01B640ACBD02E5A4C7</vt:lpwstr>
  </property>
</Properties>
</file>