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设施农业用地用地申请报告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Arial" w:hAnsi="Arial" w:eastAsia="仿宋_GB2312" w:cs="Arial"/>
          <w:color w:val="000000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乡（镇、街道）人民政府（办事处）：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本人拟使用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  <w:lang w:eastAsia="zh-CN"/>
        </w:rPr>
        <w:t>乡（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镇、街道）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村集体土地共计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平方米，用于发展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  <w:u w:val="none"/>
          <w:lang w:val="en-US" w:eastAsia="zh-CN"/>
        </w:rPr>
        <w:t>。因生产建设需要，使用生产设施用地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  <w:u w:val="none"/>
          <w:lang w:val="en-US" w:eastAsia="zh-CN"/>
        </w:rPr>
        <w:t>平方米；附属设施用地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×××</w:t>
      </w:r>
      <w:r>
        <w:rPr>
          <w:rFonts w:hint="eastAsia" w:ascii="Arial" w:hAnsi="Arial" w:eastAsia="仿宋_GB2312" w:cs="Arial"/>
          <w:color w:val="000000"/>
          <w:sz w:val="32"/>
          <w:szCs w:val="32"/>
          <w:highlight w:val="none"/>
          <w:u w:val="none"/>
          <w:lang w:val="en-US" w:eastAsia="zh-CN"/>
        </w:rPr>
        <w:t>平方米。本人承诺，按照批准用途使用土地，采取（架空、预制板铺面隔离）耕作层保护措施，不破坏耕作层，不修建永久性建筑物，自愿交纳耕地开垦费及复垦保证金，并在期满后予以复垦，退还土地，如未予以复垦，地上建筑物及附作物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乡（镇、街道）人民政府（办事处）统一处置，复垦保证金用于土地复垦。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特此申请，望予批准为盼。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申请人（签字）：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年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月</w:t>
      </w:r>
      <w:r>
        <w:rPr>
          <w:rFonts w:hint="default" w:ascii="Arial" w:hAnsi="Arial" w:eastAsia="仿宋_GB2312" w:cs="Arial"/>
          <w:color w:val="000000"/>
          <w:sz w:val="32"/>
          <w:szCs w:val="32"/>
          <w:highlight w:val="none"/>
          <w:lang w:eastAsia="zh-CN"/>
        </w:rPr>
        <w:t>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E3294"/>
    <w:rsid w:val="5D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2020-07-13T10:08:05Z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