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bidi="ar"/>
        </w:rPr>
        <w:t>贺州市平桂区黄田镇、沙田镇两个乡镇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bidi="ar"/>
        </w:rPr>
        <w:t>耕地提质改造（旱改水）项目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 w:bidi="ar"/>
        </w:rPr>
        <w:t>验收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8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 w:bidi="ar"/>
        </w:rPr>
        <w:t>提质改造面积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bidi="ar"/>
        </w:rPr>
        <w:t>情况统计表</w:t>
      </w:r>
    </w:p>
    <w:bookmarkEnd w:id="0"/>
    <w:p>
      <w:pPr>
        <w:pStyle w:val="2"/>
        <w:rPr>
          <w:rFonts w:hint="eastAsia"/>
          <w:color w:val="auto"/>
        </w:rPr>
      </w:pPr>
    </w:p>
    <w:tbl>
      <w:tblPr>
        <w:tblStyle w:val="5"/>
        <w:tblW w:w="8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1275"/>
        <w:gridCol w:w="1110"/>
        <w:gridCol w:w="690"/>
        <w:gridCol w:w="900"/>
        <w:gridCol w:w="540"/>
        <w:gridCol w:w="420"/>
        <w:gridCol w:w="915"/>
        <w:gridCol w:w="627"/>
        <w:gridCol w:w="588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tblHeader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项目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名称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图幅号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二调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图斑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实施前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  <w:t>耕地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情况</w:t>
            </w:r>
          </w:p>
        </w:tc>
        <w:tc>
          <w:tcPr>
            <w:tcW w:w="360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实施后耕地情况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tblHeader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编号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地类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（公顷）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  <w:t>耕地质量平均等别</w:t>
            </w:r>
          </w:p>
        </w:tc>
        <w:tc>
          <w:tcPr>
            <w:tcW w:w="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地类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  <w:lang w:eastAsia="zh-CN"/>
              </w:rPr>
              <w:t>新增水田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（公顷）</w:t>
            </w:r>
          </w:p>
        </w:tc>
        <w:tc>
          <w:tcPr>
            <w:tcW w:w="6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耕地质量等别</w:t>
            </w:r>
          </w:p>
        </w:tc>
        <w:tc>
          <w:tcPr>
            <w:tcW w:w="5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耕地质量平均等别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净增产能指标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18"/>
                <w:szCs w:val="18"/>
              </w:rPr>
              <w:t>（公斤）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zh-CN"/>
              </w:rPr>
              <w:t>贺州市平桂区黄田镇、沙田镇两个乡镇耕地提质改造（旱改水）项目</w:t>
            </w: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F49G084056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50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color w:val="auto"/>
                <w:sz w:val="18"/>
                <w:szCs w:val="18"/>
                <w:lang w:val="en-US" w:eastAsia="zh-CN"/>
              </w:rPr>
              <w:t>269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旱地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napToGrid/>
                <w:color w:val="auto"/>
                <w:sz w:val="18"/>
                <w:szCs w:val="18"/>
                <w:lang w:val="en-US" w:eastAsia="zh-CN"/>
              </w:rPr>
              <w:t>38.7222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color w:val="auto"/>
                <w:sz w:val="18"/>
                <w:szCs w:val="18"/>
                <w:lang w:val="en-US" w:eastAsia="zh-CN"/>
              </w:rPr>
              <w:t>9.4</w:t>
            </w:r>
          </w:p>
        </w:tc>
        <w:tc>
          <w:tcPr>
            <w:tcW w:w="42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水田</w:t>
            </w: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宋体" w:cs="宋体"/>
                <w:snapToGrid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color w:val="auto"/>
                <w:sz w:val="18"/>
                <w:szCs w:val="18"/>
                <w:lang w:val="en-US" w:eastAsia="zh-CN"/>
              </w:rPr>
              <w:t>20.7490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napToGrid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color w:val="auto"/>
                <w:sz w:val="18"/>
                <w:szCs w:val="18"/>
              </w:rPr>
              <w:t>7</w:t>
            </w:r>
          </w:p>
        </w:tc>
        <w:tc>
          <w:tcPr>
            <w:tcW w:w="58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Times New Roman" w:hAnsi="Times New Roman" w:eastAsia="宋体" w:cs="宋体"/>
                <w:snapToGrid/>
                <w:color w:val="auto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10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napToGrid/>
                <w:color w:val="auto"/>
                <w:sz w:val="18"/>
                <w:szCs w:val="18"/>
                <w:lang w:val="en-US" w:eastAsia="zh-CN"/>
              </w:rPr>
              <w:t>111931.80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F49G08405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color w:val="auto"/>
                <w:sz w:val="18"/>
                <w:szCs w:val="18"/>
                <w:lang w:val="en-US" w:eastAsia="zh-CN"/>
              </w:rPr>
              <w:t>46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、</w:t>
            </w:r>
            <w:r>
              <w:rPr>
                <w:rFonts w:hint="eastAsia" w:ascii="Times New Roman" w:hAnsi="Times New Roman" w:eastAsia="宋体" w:cs="宋体"/>
                <w:snapToGrid/>
                <w:color w:val="auto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F49G087056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color w:val="auto"/>
                <w:sz w:val="18"/>
                <w:szCs w:val="18"/>
                <w:lang w:val="en-US" w:eastAsia="zh-CN"/>
              </w:rPr>
              <w:t>272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宋体"/>
                <w:snapToGrid/>
                <w:color w:val="auto"/>
                <w:sz w:val="18"/>
                <w:szCs w:val="18"/>
                <w:lang w:val="en-US" w:eastAsia="zh-CN"/>
              </w:rPr>
              <w:t>16.5616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  <w:jc w:val="center"/>
        </w:trPr>
        <w:tc>
          <w:tcPr>
            <w:tcW w:w="8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napToGrid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</w:rPr>
              <w:t>F49G08705</w:t>
            </w:r>
            <w:r>
              <w:rPr>
                <w:rFonts w:hint="eastAsia" w:ascii="Times New Roman" w:hAnsi="Times New Roman" w:eastAsia="宋体" w:cs="宋体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napToGrid/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宋体"/>
                <w:snapToGrid/>
                <w:color w:val="auto"/>
                <w:sz w:val="18"/>
                <w:szCs w:val="18"/>
                <w:lang w:val="en-US" w:eastAsia="zh-CN"/>
              </w:rPr>
              <w:t>272</w:t>
            </w: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宋体" w:cs="宋体"/>
                <w:snapToGrid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58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</w:tbl>
    <w:p>
      <w:pPr>
        <w:spacing w:line="100" w:lineRule="exact"/>
        <w:ind w:firstLine="640" w:firstLineChars="200"/>
        <w:rPr>
          <w:rFonts w:eastAsia="仿宋_GB2312"/>
          <w:color w:val="auto"/>
          <w:sz w:val="32"/>
          <w:szCs w:val="32"/>
        </w:rPr>
      </w:pPr>
    </w:p>
    <w:p>
      <w:pPr>
        <w:spacing w:line="100" w:lineRule="exact"/>
        <w:ind w:firstLine="640" w:firstLineChars="200"/>
        <w:rPr>
          <w:rFonts w:eastAsia="仿宋_GB2312"/>
          <w:color w:val="auto"/>
          <w:sz w:val="32"/>
          <w:szCs w:val="32"/>
        </w:rPr>
      </w:pPr>
    </w:p>
    <w:p>
      <w:pPr>
        <w:spacing w:line="1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10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100" w:lineRule="exact"/>
        <w:ind w:firstLine="640" w:firstLineChars="200"/>
        <w:rPr>
          <w:rFonts w:eastAsia="仿宋_GB2312"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6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99"/>
    <w:pPr>
      <w:widowControl w:val="0"/>
      <w:autoSpaceDE w:val="0"/>
      <w:autoSpaceDN w:val="0"/>
      <w:adjustRightInd w:val="0"/>
    </w:pPr>
    <w:rPr>
      <w:rFonts w:hint="eastAsia" w:ascii="仿宋" w:hAnsi="仿宋" w:eastAsia="仿宋" w:cs="Times New Roman"/>
      <w:color w:val="000000"/>
      <w:sz w:val="24"/>
      <w:lang w:val="en-US" w:eastAsia="zh-CN" w:bidi="ar-SA"/>
    </w:rPr>
  </w:style>
  <w:style w:type="paragraph" w:customStyle="1" w:styleId="3">
    <w:name w:val="正文文字 6"/>
    <w:next w:val="1"/>
    <w:qFormat/>
    <w:uiPriority w:val="99"/>
    <w:pPr>
      <w:widowControl w:val="0"/>
      <w:ind w:left="240"/>
      <w:jc w:val="both"/>
    </w:pPr>
    <w:rPr>
      <w:rFonts w:ascii="宋体" w:hAnsi="Times New Roman" w:eastAsia="宋体" w:cs="Times New Roman"/>
      <w:b/>
      <w:bCs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2022-04-01T08:41:01Z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