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napToGrid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贺州市本级</w:t>
      </w:r>
      <w:r>
        <w:rPr>
          <w:rFonts w:hint="eastAsia" w:ascii="Times New Roman" w:hAnsi="Times New Roman" w:eastAsia="方正小标宋简体" w:cs="方正小标宋简体"/>
          <w:b w:val="0"/>
          <w:bCs w:val="0"/>
          <w:snapToGrid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年度住宅用地供应计划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一、住宅用地总量和结构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napToGrid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仿宋_GB2312"/>
          <w:snapToGrid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年度本市（县）住宅用地计划供应</w:t>
      </w:r>
      <w:r>
        <w:rPr>
          <w:rFonts w:hint="eastAsia" w:ascii="Times New Roman" w:hAnsi="Times New Roman" w:cs="仿宋_GB2312"/>
          <w:snapToGrid/>
          <w:sz w:val="32"/>
          <w:szCs w:val="32"/>
          <w:lang w:val="en-US" w:eastAsia="zh-CN"/>
        </w:rPr>
        <w:t>101</w:t>
      </w:r>
      <w:r>
        <w:rPr>
          <w:rFonts w:hint="eastAsia" w:cs="仿宋_GB2312"/>
          <w:snapToGrid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cs="仿宋_GB2312"/>
          <w:snapToGrid/>
          <w:sz w:val="32"/>
          <w:szCs w:val="32"/>
          <w:lang w:val="en-US" w:eastAsia="zh-CN"/>
        </w:rPr>
        <w:t>2114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公顷，其中商品住房</w:t>
      </w:r>
      <w:r>
        <w:rPr>
          <w:rFonts w:hint="eastAsia" w:ascii="Times New Roman" w:hAnsi="Times New Roman" w:cs="仿宋_GB2312"/>
          <w:snapToGrid/>
          <w:sz w:val="32"/>
          <w:szCs w:val="32"/>
          <w:lang w:val="en-US" w:eastAsia="zh-CN"/>
        </w:rPr>
        <w:t>80</w:t>
      </w:r>
      <w:r>
        <w:rPr>
          <w:rFonts w:hint="eastAsia" w:cs="仿宋_GB2312"/>
          <w:snapToGrid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cs="仿宋_GB2312"/>
          <w:snapToGrid/>
          <w:sz w:val="32"/>
          <w:szCs w:val="32"/>
          <w:lang w:val="en-US" w:eastAsia="zh-CN"/>
        </w:rPr>
        <w:t>9914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公顷，共有产权住房用地</w:t>
      </w:r>
      <w:r>
        <w:rPr>
          <w:rFonts w:hint="eastAsia" w:ascii="Times New Roman" w:hAnsi="Times New Roman" w:eastAsia="仿宋_GB2312" w:cs="仿宋_GB2312"/>
          <w:snapToGrid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公顷，租赁住房用地</w:t>
      </w:r>
      <w:r>
        <w:rPr>
          <w:rFonts w:hint="eastAsia" w:ascii="Times New Roman" w:hAnsi="Times New Roman" w:cs="仿宋_GB2312"/>
          <w:snapToGrid/>
          <w:sz w:val="32"/>
          <w:szCs w:val="32"/>
          <w:lang w:val="en-US" w:eastAsia="zh-CN"/>
        </w:rPr>
        <w:t>20</w:t>
      </w:r>
      <w:r>
        <w:rPr>
          <w:rFonts w:hint="eastAsia" w:cs="仿宋_GB2312"/>
          <w:snapToGrid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cs="仿宋_GB2312"/>
          <w:snapToGrid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公顷，租赁住房用中，保障性租赁住房用地</w:t>
      </w:r>
      <w:r>
        <w:rPr>
          <w:rFonts w:hint="eastAsia" w:ascii="Times New Roman" w:hAnsi="Times New Roman" w:cs="仿宋_GB2312"/>
          <w:snapToGrid/>
          <w:sz w:val="32"/>
          <w:szCs w:val="32"/>
          <w:lang w:val="en-US" w:eastAsia="zh-CN"/>
        </w:rPr>
        <w:t>20</w:t>
      </w:r>
      <w:r>
        <w:rPr>
          <w:rFonts w:hint="eastAsia" w:cs="仿宋_GB2312"/>
          <w:snapToGrid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cs="仿宋_GB2312"/>
          <w:snapToGrid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公顷（含公租房），市场化租赁住房用地</w:t>
      </w:r>
      <w:r>
        <w:rPr>
          <w:rFonts w:hint="eastAsia" w:ascii="Times New Roman" w:hAnsi="Times New Roman" w:eastAsia="仿宋_GB2312" w:cs="仿宋_GB2312"/>
          <w:snapToGrid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二、住宅用地供应布局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根据人口结构情况，居民住房需求，房地产市场走势，合计确定计划供应的住宅用地规模。在区域分布上，城市建成区计划供应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公顷，达到均衡合理布局，有利于促进职住平衡。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三、住宅用地供应保障措施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</w:rPr>
        <w:t>（一）加强协调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u w:val="none"/>
          <w:lang w:eastAsia="zh-CN"/>
        </w:rPr>
        <w:t>配合，确保供地服务效率质量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</w:rPr>
        <w:t>计划实施过程中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各级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自然资源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要会同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发改、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规划、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财政、住建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共同组织做好建设项目用地各项前期准备工作，突出统筹顾，强化服务，全程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none"/>
        </w:rPr>
        <w:t>保障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u w:val="none"/>
          <w:lang w:eastAsia="zh-CN"/>
        </w:rPr>
        <w:t>，做好计划实施工作。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（二）加强土地征收工作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城区政府应根据市人民政府下达的年度土地征收工作任务，积极组织实施土地征收工作，按时完成各项征地拆迁工作任务，为土地供应做好前期准备工作。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（三）加强计划的动态跟踪管理和通报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市发改和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自然资源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住建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等部门要及时总结并定期向社会通报计划执行情况，对因特殊原因影响供应计划安排的，应及时会同相关部门和城区政府做好计划调整工作。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本计划向社会公开，网址为贺州市自然资源局门户网站（</w:t>
      </w:r>
      <w:r>
        <w:rPr>
          <w:rFonts w:hint="eastAsia" w:ascii="Times New Roman" w:hAnsi="Times New Roman" w:eastAsia="仿宋_GB2312" w:cs="仿宋_GB2312"/>
          <w:snapToGrid/>
          <w:sz w:val="32"/>
          <w:szCs w:val="32"/>
          <w:lang w:val="en-US" w:eastAsia="zh-CN"/>
        </w:rPr>
        <w:t>http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://</w:t>
      </w:r>
      <w:r>
        <w:rPr>
          <w:rFonts w:hint="eastAsia" w:ascii="Times New Roman" w:hAnsi="Times New Roman" w:eastAsia="仿宋_GB2312" w:cs="仿宋_GB2312"/>
          <w:snapToGrid/>
          <w:sz w:val="32"/>
          <w:szCs w:val="32"/>
          <w:lang w:val="en-US" w:eastAsia="zh-CN"/>
        </w:rPr>
        <w:t>hz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napToGrid/>
          <w:sz w:val="32"/>
          <w:szCs w:val="32"/>
          <w:lang w:val="en-US" w:eastAsia="zh-CN"/>
        </w:rPr>
        <w:t>dnr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napToGrid/>
          <w:sz w:val="32"/>
          <w:szCs w:val="32"/>
          <w:lang w:val="en-US" w:eastAsia="zh-CN"/>
        </w:rPr>
        <w:t>gxzf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napToGrid/>
          <w:sz w:val="32"/>
          <w:szCs w:val="32"/>
          <w:lang w:val="en-US" w:eastAsia="zh-CN"/>
        </w:rPr>
        <w:t>gov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napToGrid/>
          <w:sz w:val="32"/>
          <w:szCs w:val="32"/>
          <w:lang w:val="en-US" w:eastAsia="zh-CN"/>
        </w:rPr>
        <w:t>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73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beforeLines="0" w:afterLines="0" w:line="58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FangSong_GB2312" w:hAnsi="FangSong_GB2312" w:eastAsia="FangSong_GB2312" w:cs="Times New Roman"/>
      <w:color w:val="000000"/>
      <w:sz w:val="24"/>
    </w:rPr>
  </w:style>
  <w:style w:type="paragraph" w:customStyle="1" w:styleId="3">
    <w:name w:val="正文文字 6"/>
    <w:next w:val="1"/>
    <w:qFormat/>
    <w:uiPriority w:val="99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2022-03-22T10:09:50Z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