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  <w:t>贺州市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eastAsia="zh-CN"/>
        </w:rPr>
        <w:t>本级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  <w:t>年度国有建设用地供应计划表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right"/>
        <w:outlineLvl w:val="9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单位：公顷</w:t>
      </w:r>
    </w:p>
    <w:tbl>
      <w:tblPr>
        <w:tblStyle w:val="7"/>
        <w:tblW w:w="14108" w:type="dxa"/>
        <w:jc w:val="center"/>
        <w:tblInd w:w="2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215"/>
        <w:gridCol w:w="1155"/>
        <w:gridCol w:w="1060"/>
        <w:gridCol w:w="1185"/>
        <w:gridCol w:w="1198"/>
        <w:gridCol w:w="1170"/>
        <w:gridCol w:w="1230"/>
        <w:gridCol w:w="1035"/>
        <w:gridCol w:w="1260"/>
        <w:gridCol w:w="103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季度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供应总量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工矿仓储用地</w:t>
            </w:r>
          </w:p>
        </w:tc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住房用地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公共管理与服务用地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水域及水利设施用地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特殊用地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产业用地（不确定用途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保障性安居工程用地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4"/>
                <w:u w:val="none"/>
                <w:lang w:val="en-US" w:eastAsia="zh-CN" w:bidi="ar"/>
              </w:rPr>
              <w:t>商品住房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4"/>
                <w:u w:val="none"/>
                <w:lang w:val="en-US" w:eastAsia="zh-CN" w:bidi="ar"/>
              </w:rPr>
              <w:t>用地</w:t>
            </w: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1845.1556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135.8209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593.4483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85.5016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24.3014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61.2002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115.7263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447.4263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4.3978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20.5029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00" w:afterLines="0" w:afterAutospacing="1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442.3315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 w:val="24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pPr>
      <w:spacing w:line="480" w:lineRule="exact"/>
    </w:pPr>
    <w:rPr>
      <w:sz w:val="24"/>
    </w:rPr>
  </w:style>
  <w:style w:type="character" w:styleId="6">
    <w:name w:val="page number"/>
    <w:basedOn w:val="4"/>
    <w:uiPriority w:val="0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xiaoyangyang</dc:creator>
  <cp:lastModifiedBy>xiaoyangyang</cp:lastModifiedBy>
  <dcterms:modified xsi:type="dcterms:W3CDTF">2020-04-22T09:43:42Z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