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r>
        <w:rPr>
          <w:rFonts w:hint="eastAsia"/>
          <w:highlight w:val="none"/>
        </w:rPr>
        <w:t>附件</w:t>
      </w:r>
    </w:p>
    <w:p>
      <w:pPr>
        <w:spacing w:line="560" w:lineRule="exact"/>
        <w:jc w:val="center"/>
        <w:rPr>
          <w:highlight w:val="none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</w:rPr>
        <w:t>贺州市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市本级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标定地价成果</w:t>
      </w:r>
    </w:p>
    <w:bookmarkEnd w:id="0"/>
    <w:p>
      <w:pPr>
        <w:spacing w:line="560" w:lineRule="exact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一、本次公布的贺州市标定地价的公示范围为贺州市八步区、平桂区的建成区和近期规划建设区范围以及信都镇、望高镇、莲塘镇、桂岭镇、贺街镇、公会镇镇区。标定区域</w:t>
      </w:r>
      <w:r>
        <w:rPr>
          <w:rFonts w:hint="eastAsia"/>
          <w:color w:val="auto"/>
          <w:highlight w:val="none"/>
        </w:rPr>
        <w:t>总土地面积约</w:t>
      </w:r>
      <w:r>
        <w:rPr>
          <w:color w:val="auto"/>
          <w:highlight w:val="none"/>
        </w:rPr>
        <w:t>97.38</w:t>
      </w:r>
      <w:r>
        <w:rPr>
          <w:rFonts w:hint="eastAsia"/>
          <w:color w:val="auto"/>
          <w:highlight w:val="none"/>
        </w:rPr>
        <w:t>平方公里</w:t>
      </w:r>
      <w:r>
        <w:rPr>
          <w:rFonts w:hint="eastAsia"/>
          <w:color w:val="auto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二、地价内涵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根据《标定地价规程》,“标定地价是政府为管理需要确定的，标准宗地在现状开发利用条件下，于某一估价期日法定最高使用年期下的土地权利价格”。其具体价格内涵为：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1、估价期日：20</w:t>
      </w:r>
      <w:r>
        <w:rPr>
          <w:highlight w:val="none"/>
        </w:rPr>
        <w:t>20</w:t>
      </w:r>
      <w:r>
        <w:rPr>
          <w:rFonts w:hint="eastAsia"/>
          <w:highlight w:val="none"/>
        </w:rPr>
        <w:t xml:space="preserve">年1月1日； 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2、权利特征：具有相对完整的国有出让土地权利，不考虑抵押权、地役权等他项权利的限制。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3、价格类型：本次标定地价只评估城镇国有出让建设用地，价格类型为出让国有建设用地土地使用权价格。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4、土地用途：分为商服用地、住宅用地、工业用地及混合（商服、住宅混合）用地四种用途；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 xml:space="preserve">5、容积率：按照标准宗地的出让容积率或实际容积率，已建成的按实际容积率，未建成的按出让容积率，规划用地按规划容积率； 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highlight w:val="none"/>
        </w:rPr>
        <w:t>6</w:t>
      </w:r>
      <w:r>
        <w:rPr>
          <w:rFonts w:hint="eastAsia"/>
          <w:highlight w:val="none"/>
        </w:rPr>
        <w:t>、土地使用年限：商服用地40年，住宅用地70年，工业用地50年，混合用地商服部分4</w:t>
      </w:r>
      <w:r>
        <w:rPr>
          <w:highlight w:val="none"/>
        </w:rPr>
        <w:t>0</w:t>
      </w:r>
      <w:r>
        <w:rPr>
          <w:rFonts w:hint="eastAsia"/>
          <w:highlight w:val="none"/>
        </w:rPr>
        <w:t>年/住宅部分7</w:t>
      </w:r>
      <w:r>
        <w:rPr>
          <w:highlight w:val="none"/>
        </w:rPr>
        <w:t>0</w:t>
      </w:r>
      <w:r>
        <w:rPr>
          <w:rFonts w:hint="eastAsia"/>
          <w:highlight w:val="none"/>
        </w:rPr>
        <w:t>年；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highlight w:val="none"/>
        </w:rPr>
        <w:t>7</w:t>
      </w:r>
      <w:r>
        <w:rPr>
          <w:rFonts w:hint="eastAsia"/>
          <w:highlight w:val="none"/>
        </w:rPr>
        <w:t>、土地开发程度：宗地红线外“五通”（通路、通电、通讯、供水、通排水），红线内场地平整，即“五通一平”</w:t>
      </w:r>
      <w:r>
        <w:rPr>
          <w:rFonts w:ascii="仿宋_GB2312"/>
          <w:sz w:val="30"/>
          <w:szCs w:val="30"/>
          <w:highlight w:val="none"/>
        </w:rPr>
        <w:t>。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8、地价表现形式：在地价表现形式上，为了便于比较，商服、住宅及混合标定地价的主要采取楼面单价形式，同时结合地面单价进行表述，工业标定地价采用地面单价进行表述。</w:t>
      </w: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</w:pPr>
    </w:p>
    <w:p>
      <w:pPr>
        <w:spacing w:line="560" w:lineRule="exact"/>
        <w:ind w:firstLine="640" w:firstLineChars="200"/>
        <w:rPr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654" w:gutter="0"/>
          <w:pgNumType w:start="1"/>
          <w:cols w:space="425" w:num="1"/>
          <w:docGrid w:type="lines" w:linePitch="312" w:charSpace="0"/>
        </w:sectPr>
      </w:pPr>
    </w:p>
    <w:p>
      <w:pPr>
        <w:spacing w:line="40" w:lineRule="exact"/>
        <w:rPr>
          <w:sz w:val="24"/>
          <w:szCs w:val="24"/>
          <w:highlight w:val="none"/>
        </w:rPr>
      </w:pPr>
    </w:p>
    <w:p>
      <w:pPr>
        <w:spacing w:before="72" w:after="72"/>
        <w:jc w:val="center"/>
        <w:rPr>
          <w:b/>
          <w:highlight w:val="none"/>
        </w:rPr>
      </w:pPr>
      <w:r>
        <w:rPr>
          <w:b/>
          <w:highlight w:val="none"/>
        </w:rPr>
        <w:t xml:space="preserve">    </w:t>
      </w:r>
      <w:r>
        <w:rPr>
          <w:rFonts w:hint="eastAsia"/>
          <w:b/>
          <w:highlight w:val="none"/>
        </w:rPr>
        <w:t>标定地价公示信息表</w:t>
      </w:r>
    </w:p>
    <w:p>
      <w:pPr>
        <w:spacing w:before="156" w:beforeLines="50" w:after="72" w:line="560" w:lineRule="exact"/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市县名称：</w:t>
      </w:r>
      <w:r>
        <w:rPr>
          <w:rFonts w:hint="eastAsia"/>
          <w:b/>
          <w:bCs/>
          <w:sz w:val="24"/>
          <w:szCs w:val="24"/>
          <w:highlight w:val="none"/>
        </w:rPr>
        <w:t>贺州市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市本级</w:t>
      </w:r>
      <w:r>
        <w:rPr>
          <w:rFonts w:hint="eastAsia"/>
          <w:b/>
          <w:bCs/>
          <w:sz w:val="24"/>
          <w:szCs w:val="24"/>
          <w:highlight w:val="none"/>
        </w:rPr>
        <w:t xml:space="preserve">                                                    </w:t>
      </w:r>
      <w:r>
        <w:rPr>
          <w:b/>
          <w:bCs/>
          <w:sz w:val="24"/>
          <w:szCs w:val="24"/>
          <w:highlight w:val="none"/>
        </w:rPr>
        <w:t xml:space="preserve">                </w:t>
      </w:r>
      <w:r>
        <w:rPr>
          <w:rFonts w:hint="eastAsia"/>
          <w:b/>
          <w:bCs/>
          <w:sz w:val="24"/>
          <w:szCs w:val="24"/>
          <w:highlight w:val="none"/>
        </w:rPr>
        <w:t>地价期日：20</w:t>
      </w:r>
      <w:r>
        <w:rPr>
          <w:b/>
          <w:bCs/>
          <w:sz w:val="24"/>
          <w:szCs w:val="24"/>
          <w:highlight w:val="none"/>
        </w:rPr>
        <w:t>20</w:t>
      </w:r>
      <w:r>
        <w:rPr>
          <w:rFonts w:hint="eastAsia"/>
          <w:b/>
          <w:bCs/>
          <w:sz w:val="24"/>
          <w:szCs w:val="24"/>
          <w:highlight w:val="none"/>
        </w:rPr>
        <w:t>年1月1日</w:t>
      </w:r>
    </w:p>
    <w:tbl>
      <w:tblPr>
        <w:tblStyle w:val="4"/>
        <w:tblW w:w="140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130"/>
        <w:gridCol w:w="1894"/>
        <w:gridCol w:w="766"/>
        <w:gridCol w:w="1049"/>
        <w:gridCol w:w="1232"/>
        <w:gridCol w:w="1232"/>
        <w:gridCol w:w="902"/>
        <w:gridCol w:w="1094"/>
        <w:gridCol w:w="908"/>
        <w:gridCol w:w="1122"/>
        <w:gridCol w:w="1094"/>
        <w:gridCol w:w="10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58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标准宗地编码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位置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用途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权利类型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面积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（平方米）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各用途比例（%）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容积率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开发程度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设定使用年期（年）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标定地价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(元/平方米)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581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地面地价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楼面地价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贺州市新兴北路29号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1037.6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1.36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6027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4431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贺州市向阳路20号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1256.93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5.59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22537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4032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贺州市建设中路8号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3014.4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8271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3308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贺州市贺州大道与太白西路交汇处东南侧（C地块）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13872.84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8858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2461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451100S5000501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贺州市松木岭路与滨泰二路交汇处西南侧A-1地块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7116.88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5778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2889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贺州市光明大道东侧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30510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6755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2702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贺州市潇贺大道与东融大道交汇处西南侧A地块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40507.26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3017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862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贺州市狮子岗北路与黄田东路交汇处北侧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23421.06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3172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1058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451100S5000901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贺州市园博园东路（原规划横二路）与茶庵街（原规划横二路）交汇处东南侧A-01地块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商服用地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13207.92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1209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806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贺州市八步区新宁社区新宁二巷33号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60.2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8565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1318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贺州市八步区银河街银杏巷28号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5.71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8164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1430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贺州市八步区园林街东园巷80号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7400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1721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贺州市八步兴隆巷58号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3.13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6894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2203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451100Z7000501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贺州市八步区新宁社区新民巷7号（前座）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51.11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3.42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7407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2166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贺州市八步区新宁街利民巷20号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62.6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6941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1543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贺州市建设中路2号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486.6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6.18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8363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1353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贺州市八步区翔云街15-2号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8946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1377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451100Z7000901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贺州市八步区旺角小区三类130号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899.61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3.71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7484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2017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451100Z7001001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 xml:space="preserve">贺州市八步区太白社区建宁巷 136 号 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5.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8164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1585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贺州市八步星光路三类19号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7656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1867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贺州市八达路鸡笼山东面（猪花市场前面）10号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6739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1037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贺州市三皇庙开发区五类地344号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80.32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6.44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7300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1134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贺州市八步镇西约街牛仔湾二巷26号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103.51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3.07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6798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2215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451100Z7001501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贺州市西约街油行巷3-2号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53.3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4.61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6913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1500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贺州市八步区光明社区富顺巷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60.4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4.68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7376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1577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贺州市万兴路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975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3.99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6607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1656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贺州市八步区厦良社区新兴南路79号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60.44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3.74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6749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1805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451100Z7001901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贺州市大钟山东路与东宝路交汇处西北角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36947.38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3134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980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451100Z7002001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贺州市平桂区西湾街道办电厂街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85.12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4553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2168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贺州市新华东路与万福街交汇处东北角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11089.08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1288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585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贺州市美仪西路与太华路东南侧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45496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1344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480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贺州市桂粤湘大道与宝泉路交汇处西北角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100102.48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2778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1112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贺州市北环路与安宁路交汇处北面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115619.8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1672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669</w:t>
            </w:r>
          </w:p>
        </w:tc>
        <w:tc>
          <w:tcPr>
            <w:tcW w:w="1094" w:type="dxa"/>
            <w:shd w:val="clear" w:color="auto" w:fill="auto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贺州市灵峰南路18号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67421.97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住宅78.61%，商服21.39%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4.92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10712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2178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未全部建成，参照规划指标评估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贺州市星光路56号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121586.18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住宅90.5%，商服9.5%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4.13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7527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1822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未全部建成，参照规划指标评估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贺州市工达路北侧B-01地块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22531.92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住宅93.38%，商服6.62%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4540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2270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贺州市桃源路与大兴路交叉口南面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48852.37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住宅50%，商服50%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7554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1889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451100H7000501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贺州市南苑路与平安东路交汇处东北侧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28922.55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住宅92.79%，商服7.21%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5246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1749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贺州市太白湖片区太白西路以南乐业路与大兴路交汇处东北角C-04地块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50482.8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住宅89.81%，商服10.19%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6057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1683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贺州市平安东路与乐业路交汇处西北侧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59914.75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住宅95.46%，商服4.54%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4845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1938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贺州市创业路与滨江东路交汇处东北侧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129625.76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住宅96.48%，商服3.52%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5259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1878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451100H7000901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贺州市平桂区黄田镇担石村九十九窝塘B地块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11644.61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住宅96.98%，商服3.02%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6.24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6807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1091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451100H7001001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贺州市八步区城西路35号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18778.31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住宅90%，商服10%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4589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1530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贺州市万兴路198号东面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14632.82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住宅96.19%，商服3.81%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3.46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5271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1524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贺州市灵峰南路东100米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20415.5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住宅86.17%，商服13.83%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3349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1288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贺州市贺州大道336号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3880.7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住宅94.4%，商服6.6%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3.12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5239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1679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贺州市鞍山东路与太寿路（原滨江二路）交汇处东北侧A-02地块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87323.52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住宅97.82%，商服2.18%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2.68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3167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1182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451100H7001501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贺州市中心景观大道西侧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400000.01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住宅94%，商服6%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3171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1057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贺州市和平路与育才北路交汇处东北侧A地块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58765.65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住宅70%，商服30%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3454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1047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贺州市北环路与姑婆山大道交汇处东南侧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28557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住宅90%，商服10%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3377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1126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</w:rPr>
              <w:t>451100H7001801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贺州市站前大道与光明大道交汇处西南侧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60387.18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住宅70%，商服30%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3622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1035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451100H7001901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贺州市南环路与光明大道交汇处西南侧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140000.35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住宅70%，商服30%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4355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1452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451100H7002001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贺州市南环路北120米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28418.44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住宅89.22%，商服10.78%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3662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1221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贺州市贺州大道西北侧A-01地块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16511.8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住宅72%，商服4%，办公24%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3940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1970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贺州大道与江南中路交汇处东南侧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87833.31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住宅85%，商服15%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4378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1752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贺州市南环路南侧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58497.7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住宅77%，商服23%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3768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1077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未全部建成，参照规划指标评估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贺州市207国道南140米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101419.8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住宅90%，商服10%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3682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1052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451100H7002501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贺州市平桂区平桂大道与规划西湾大道交汇处西南侧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11677.54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住宅80%，商服20%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3459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865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贺州市平桂区207国道南面、富江西面A地块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68062.74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住宅85%，商服15%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3647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1042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贺州市规划东鹿二路与园博经三路交汇处西南侧A-1地块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31667.85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住宅95%，商服5%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1573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524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贺州市光明大道东南侧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54983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住宅90%，商服10%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3762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1881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451100H7002901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贺州市八达西路北侧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23465.57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住宅90%，商服10%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2789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1116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451100H7003001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贺州市永丰路以北、万兴路以西、民乐路以东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26719.19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住宅90.87%，商服9.13%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3116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890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451100H7003101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贺州市润祥路与桂兴北路交叉口西北面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94540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住宅90%，商服10%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2778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1390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规划用地，参照规划指标评估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451100H7003201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贺州市平桂区西湾横一路与纵一路交汇处东南侧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21024.44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住宅80%，商服20%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3346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956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451100H7003301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贺州市平桂区规划公园西路与规划煤矿一支路交汇处东南侧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商住混合用地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4917.02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住宅80%，商服20%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住宅7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，商服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3346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956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未建成，参照规划指标评估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贺州市平桂区黄田镇公和村（电子科技生态园内A-16-02地块）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181679.54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贺州市平桂区广西碳酸钙千亿元示范基地内平工西路东侧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37688.3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贺州市望高镇立头、新联村交界西侧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24480.8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451100G6000401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贺州市平桂区望高镇同乐村清水拱207国道南侧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15688.43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25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贺州市八步区贺街镇规划编号15号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50.39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6.12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7015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1146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26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贺州市八步区贺街镇河东街临江路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56.75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2.18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3810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1748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贺州市信都镇石龙新街（大新街）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80.5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3.76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7820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2080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FF0000"/>
                <w:sz w:val="21"/>
                <w:szCs w:val="21"/>
                <w:highlight w:val="none"/>
              </w:rPr>
              <w:t>贺州市八步区信都镇梧八公路下侧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75.5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4.11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4701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1144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451100Z7002901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贺州市信都镇大新街023号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183.41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1.57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3829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2439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451100G6000501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贺州市八步区信都镇两合村桂鑫钢铁有限公司北面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135093.8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215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贺州市八步区仁义镇（信都镇工业区大桂山林场）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100000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215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78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451100Z7003001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贺州市平桂区公会镇建设南路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60.2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5.36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8043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1501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79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451100Z7003101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贺州市平桂区公会镇农贸市场36号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60.2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2.14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3820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1785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80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451100Z7003201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贺州市桂岭镇南门街136号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94.76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5.71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6606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1157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81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451100Z7003301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贺州市桂岭镇桂岭街西区市场93号宅地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80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3.51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2212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630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82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贺州市平桂区望高镇新区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130.95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3.98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3718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935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83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451100Z7003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贺州市平桂区望高镇兴望路P-72号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82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5.03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2018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402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84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451100G6000701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贺州市平桂区望高镇旺高综合物流园区内D-1地块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90897.09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85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451100G6000801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贺州市望高镇旺高工业区内富业路北侧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56600.05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0.9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86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451100G6000901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贺州市平桂区望高镇富旺东路西侧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工业用地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18390.01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1.2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224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87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451100Z700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601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贺州市莲塘镇新街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住宅用地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国有出让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159.74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6</w:t>
            </w:r>
            <w:r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  <w:t>.0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五通一平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5816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highlight w:val="none"/>
              </w:rPr>
              <w:t>970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/>
    <w:sectPr>
      <w:headerReference r:id="rId4" w:type="default"/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4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5</w:t>
    </w:r>
    <w:r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2020-04-30T02:28:41Z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