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5987"/>
      <w:r>
        <w:rPr>
          <w:rFonts w:hint="eastAsia"/>
        </w:rPr>
        <w:t xml:space="preserve"> </w:t>
      </w:r>
      <w:bookmarkEnd w:id="0"/>
    </w:p>
    <w:p>
      <w:pPr>
        <w:ind w:firstLine="480"/>
        <w:rPr>
          <w:rFonts w:ascii="宋体" w:hAnsi="宋体" w:eastAsia="宋体" w:cs="宋体"/>
          <w:sz w:val="24"/>
        </w:rPr>
      </w:pPr>
    </w:p>
    <w:p>
      <w:pPr>
        <w:ind w:firstLine="0" w:firstLineChars="0"/>
        <w:rPr>
          <w:rFonts w:ascii="宋体" w:hAnsi="宋体" w:eastAsia="宋体" w:cs="宋体"/>
          <w:sz w:val="24"/>
        </w:rPr>
      </w:pPr>
    </w:p>
    <w:p>
      <w:pPr>
        <w:autoSpaceDE w:val="0"/>
        <w:autoSpaceDN w:val="0"/>
        <w:adjustRightInd w:val="0"/>
        <w:ind w:firstLine="0" w:firstLineChars="0"/>
        <w:jc w:val="center"/>
        <w:rPr>
          <w:rFonts w:ascii="华文中宋" w:hAnsi="华文中宋" w:eastAsia="华文中宋" w:cs="FZXBSJW--GB1-0"/>
          <w:kern w:val="0"/>
          <w:sz w:val="52"/>
          <w:szCs w:val="52"/>
        </w:rPr>
      </w:pPr>
      <w:r>
        <w:rPr>
          <w:rFonts w:hint="eastAsia" w:ascii="方正小标宋_GBK" w:hAnsi="方正小标宋_GBK" w:eastAsia="方正小标宋_GBK" w:cs="方正小标宋_GBK"/>
          <w:bCs/>
          <w:kern w:val="0"/>
          <w:sz w:val="52"/>
          <w:szCs w:val="52"/>
        </w:rPr>
        <w:t>贺州市国土空间总体规划</w:t>
      </w:r>
    </w:p>
    <w:p>
      <w:pPr>
        <w:pStyle w:val="3"/>
        <w:rPr>
          <w:rFonts w:hint="eastAsia" w:ascii="方正小标宋_GBK" w:hAnsi="方正小标宋_GBK" w:cs="方正小标宋_GBK"/>
          <w:kern w:val="0"/>
          <w:sz w:val="52"/>
          <w:szCs w:val="52"/>
        </w:rPr>
      </w:pPr>
      <w:bookmarkStart w:id="1" w:name="_Toc156512012"/>
      <w:bookmarkStart w:id="2" w:name="_Toc213018234"/>
      <w:bookmarkStart w:id="3" w:name="_Toc24235"/>
      <w:r>
        <w:rPr>
          <w:rFonts w:hint="eastAsia" w:ascii="方正小标宋_GBK" w:hAnsi="方正小标宋_GBK" w:cs="方正小标宋_GBK"/>
          <w:kern w:val="0"/>
          <w:sz w:val="52"/>
          <w:szCs w:val="52"/>
        </w:rPr>
        <w:t>（2021—2035年）</w:t>
      </w:r>
      <w:bookmarkEnd w:id="1"/>
      <w:bookmarkEnd w:id="2"/>
      <w:bookmarkEnd w:id="3"/>
    </w:p>
    <w:p>
      <w:pPr>
        <w:ind w:firstLine="0" w:firstLineChars="0"/>
        <w:jc w:val="center"/>
        <w:rPr>
          <w:rFonts w:ascii="楷体_GB2312" w:hAnsi="楷体_GB2312" w:eastAsia="楷体_GB2312" w:cs="楷体_GB2312"/>
          <w:b/>
          <w:bCs/>
          <w:sz w:val="36"/>
          <w:szCs w:val="36"/>
        </w:rPr>
      </w:pPr>
    </w:p>
    <w:p>
      <w:pPr>
        <w:ind w:firstLine="600"/>
        <w:jc w:val="center"/>
        <w:rPr>
          <w:rFonts w:ascii="宋体" w:hAnsi="宋体" w:eastAsia="宋体" w:cs="宋体"/>
          <w:sz w:val="30"/>
          <w:szCs w:val="30"/>
        </w:rPr>
      </w:pPr>
    </w:p>
    <w:p>
      <w:pPr>
        <w:ind w:firstLine="0" w:firstLineChars="0"/>
        <w:rPr>
          <w:rFonts w:ascii="宋体" w:hAnsi="宋体" w:eastAsia="宋体" w:cs="宋体"/>
          <w:sz w:val="30"/>
          <w:szCs w:val="30"/>
        </w:rPr>
      </w:pPr>
    </w:p>
    <w:p>
      <w:pPr>
        <w:ind w:firstLine="600"/>
        <w:jc w:val="center"/>
        <w:rPr>
          <w:rFonts w:ascii="宋体" w:hAnsi="宋体" w:eastAsia="宋体" w:cs="宋体"/>
          <w:sz w:val="30"/>
          <w:szCs w:val="30"/>
        </w:rPr>
      </w:pPr>
    </w:p>
    <w:p>
      <w:pPr>
        <w:pStyle w:val="2"/>
        <w:ind w:firstLine="0" w:firstLineChars="0"/>
      </w:pPr>
    </w:p>
    <w:p>
      <w:pPr>
        <w:pStyle w:val="2"/>
        <w:ind w:firstLine="600"/>
        <w:rPr>
          <w:rFonts w:ascii="宋体" w:hAnsi="宋体" w:eastAsia="宋体" w:cs="宋体"/>
          <w:sz w:val="30"/>
          <w:szCs w:val="30"/>
        </w:rPr>
      </w:pPr>
    </w:p>
    <w:p>
      <w:pPr>
        <w:pStyle w:val="2"/>
        <w:ind w:firstLine="600"/>
        <w:rPr>
          <w:rFonts w:ascii="宋体" w:hAnsi="宋体" w:eastAsia="宋体" w:cs="宋体"/>
          <w:sz w:val="30"/>
          <w:szCs w:val="30"/>
        </w:rPr>
      </w:pPr>
    </w:p>
    <w:p>
      <w:pPr>
        <w:pStyle w:val="2"/>
        <w:ind w:firstLine="600"/>
        <w:rPr>
          <w:rFonts w:ascii="宋体" w:hAnsi="宋体" w:eastAsia="宋体" w:cs="宋体"/>
          <w:sz w:val="30"/>
          <w:szCs w:val="30"/>
        </w:rPr>
      </w:pPr>
    </w:p>
    <w:p>
      <w:pPr>
        <w:pStyle w:val="2"/>
        <w:ind w:firstLine="600"/>
        <w:rPr>
          <w:rFonts w:ascii="宋体" w:hAnsi="宋体" w:eastAsia="宋体" w:cs="宋体"/>
          <w:sz w:val="30"/>
          <w:szCs w:val="30"/>
        </w:rPr>
      </w:pPr>
    </w:p>
    <w:p>
      <w:pPr>
        <w:pStyle w:val="2"/>
        <w:ind w:firstLine="600"/>
        <w:rPr>
          <w:rFonts w:ascii="宋体" w:hAnsi="宋体" w:eastAsia="宋体" w:cs="宋体"/>
          <w:sz w:val="30"/>
          <w:szCs w:val="30"/>
        </w:rPr>
      </w:pPr>
    </w:p>
    <w:p>
      <w:pPr>
        <w:ind w:firstLine="600"/>
        <w:jc w:val="center"/>
        <w:rPr>
          <w:rFonts w:ascii="宋体" w:hAnsi="宋体" w:eastAsia="宋体" w:cs="宋体"/>
          <w:sz w:val="30"/>
          <w:szCs w:val="30"/>
        </w:rPr>
      </w:pPr>
    </w:p>
    <w:p>
      <w:pPr>
        <w:pStyle w:val="2"/>
        <w:ind w:firstLine="640"/>
      </w:pPr>
    </w:p>
    <w:p>
      <w:pPr>
        <w:pStyle w:val="2"/>
        <w:ind w:firstLine="640"/>
      </w:pPr>
    </w:p>
    <w:p>
      <w:pPr>
        <w:pStyle w:val="2"/>
        <w:ind w:firstLine="640"/>
      </w:pPr>
    </w:p>
    <w:p>
      <w:pPr>
        <w:ind w:firstLine="0" w:firstLineChars="0"/>
        <w:jc w:val="center"/>
        <w:rPr>
          <w:rFonts w:ascii="楷体_GB2312" w:hAnsi="楷体_GB2312" w:eastAsia="楷体_GB2312" w:cs="楷体_GB2312"/>
          <w:bCs/>
          <w:szCs w:val="32"/>
        </w:rPr>
      </w:pPr>
      <w:r>
        <w:rPr>
          <w:rFonts w:hint="eastAsia" w:ascii="楷体_GB2312" w:hAnsi="楷体_GB2312" w:eastAsia="楷体_GB2312" w:cs="楷体_GB2312"/>
          <w:bCs/>
          <w:szCs w:val="32"/>
        </w:rPr>
        <w:t>贺州市人民政府</w:t>
      </w:r>
    </w:p>
    <w:p>
      <w:pPr>
        <w:pStyle w:val="2"/>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200" w:header="851" w:footer="992" w:gutter="0"/>
          <w:pgNumType w:fmt="upperRoman" w:start="1"/>
          <w:cols w:space="720" w:num="1"/>
          <w:docGrid w:type="lines" w:linePitch="312" w:charSpace="0"/>
        </w:sectPr>
      </w:pPr>
    </w:p>
    <w:sdt>
      <w:sdtPr>
        <w:rPr>
          <w:rFonts w:ascii="宋体" w:hAnsi="宋体" w:eastAsia="宋体" w:cstheme="majorBidi"/>
          <w:kern w:val="0"/>
          <w:sz w:val="21"/>
          <w:szCs w:val="32"/>
        </w:rPr>
        <w:id w:val="147461155"/>
      </w:sdtPr>
      <w:sdtEndPr>
        <w:rPr>
          <w:rFonts w:ascii="Times New Roman" w:hAnsi="Times New Roman" w:eastAsia="黑体" w:cs="Times New Roman"/>
          <w:b/>
          <w:kern w:val="2"/>
          <w:sz w:val="30"/>
          <w:szCs w:val="24"/>
        </w:rPr>
      </w:sdtEndPr>
      <w:sdtContent>
        <w:p>
          <w:pPr>
            <w:spacing w:line="560" w:lineRule="exact"/>
            <w:ind w:firstLine="0" w:firstLineChars="0"/>
            <w:jc w:val="center"/>
          </w:pPr>
          <w:r>
            <w:rPr>
              <w:rFonts w:hint="eastAsia" w:ascii="方正小标宋_GBK" w:hAnsi="方正小标宋_GBK" w:eastAsia="方正小标宋_GBK" w:cs="方正小标宋_GBK"/>
              <w:sz w:val="36"/>
              <w:szCs w:val="36"/>
            </w:rPr>
            <w:t>目  录</w:t>
          </w:r>
          <w:r>
            <w:rPr>
              <w:rFonts w:ascii="微软雅黑" w:hAnsi="微软雅黑" w:eastAsia="微软雅黑"/>
              <w:sz w:val="28"/>
              <w:szCs w:val="28"/>
            </w:rPr>
            <w:fldChar w:fldCharType="begin"/>
          </w:r>
          <w:r>
            <w:rPr>
              <w:rFonts w:ascii="微软雅黑" w:hAnsi="微软雅黑" w:eastAsia="微软雅黑"/>
              <w:sz w:val="28"/>
              <w:szCs w:val="28"/>
            </w:rPr>
            <w:instrText xml:space="preserve">TOC \o "1-2" \h \u </w:instrText>
          </w:r>
          <w:r>
            <w:rPr>
              <w:rFonts w:ascii="微软雅黑" w:hAnsi="微软雅黑" w:eastAsia="微软雅黑"/>
              <w:sz w:val="28"/>
              <w:szCs w:val="28"/>
            </w:rPr>
            <w:fldChar w:fldCharType="separate"/>
          </w:r>
        </w:p>
        <w:p>
          <w:pPr>
            <w:pStyle w:val="19"/>
            <w:tabs>
              <w:tab w:val="right" w:leader="dot" w:pos="8296"/>
            </w:tabs>
            <w:ind w:firstLine="640"/>
            <w:rPr>
              <w:rFonts w:asciiTheme="minorHAnsi" w:hAnsiTheme="minorHAnsi" w:eastAsiaTheme="minorEastAsia" w:cstheme="minorBidi"/>
              <w:b/>
              <w:sz w:val="21"/>
              <w:szCs w:val="22"/>
            </w:rPr>
          </w:pPr>
          <w:r>
            <w:fldChar w:fldCharType="begin"/>
          </w:r>
          <w:r>
            <w:instrText xml:space="preserve"> HYPERLINK \l "_Toc213018235" </w:instrText>
          </w:r>
          <w:r>
            <w:fldChar w:fldCharType="separate"/>
          </w:r>
          <w:r>
            <w:rPr>
              <w:rStyle w:val="30"/>
              <w:rFonts w:ascii="方正小标宋_GBK" w:hAnsi="方正小标宋_GBK" w:cs="方正小标宋_GBK"/>
              <w:b/>
            </w:rPr>
            <w:t>前  言</w:t>
          </w:r>
          <w:r>
            <w:rPr>
              <w:b/>
            </w:rPr>
            <w:tab/>
          </w:r>
          <w:r>
            <w:rPr>
              <w:b/>
            </w:rPr>
            <w:fldChar w:fldCharType="begin"/>
          </w:r>
          <w:r>
            <w:rPr>
              <w:b/>
            </w:rPr>
            <w:instrText xml:space="preserve"> PAGEREF _Toc213018235 \h </w:instrText>
          </w:r>
          <w:r>
            <w:rPr>
              <w:b/>
            </w:rPr>
            <w:fldChar w:fldCharType="separate"/>
          </w:r>
          <w:r>
            <w:rPr>
              <w:b/>
            </w:rPr>
            <w:t>1</w:t>
          </w:r>
          <w:r>
            <w:rPr>
              <w:b/>
            </w:rPr>
            <w:fldChar w:fldCharType="end"/>
          </w:r>
          <w:r>
            <w:rPr>
              <w:b/>
            </w:rPr>
            <w:fldChar w:fldCharType="end"/>
          </w:r>
        </w:p>
        <w:p>
          <w:pPr>
            <w:pStyle w:val="19"/>
            <w:tabs>
              <w:tab w:val="right" w:leader="dot" w:pos="8296"/>
            </w:tabs>
            <w:ind w:firstLine="640"/>
            <w:rPr>
              <w:rFonts w:asciiTheme="minorHAnsi" w:hAnsiTheme="minorHAnsi" w:eastAsiaTheme="minorEastAsia" w:cstheme="minorBidi"/>
              <w:b/>
              <w:sz w:val="21"/>
              <w:szCs w:val="22"/>
            </w:rPr>
          </w:pPr>
          <w:r>
            <w:fldChar w:fldCharType="begin"/>
          </w:r>
          <w:r>
            <w:instrText xml:space="preserve"> HYPERLINK \l "_Toc213018236" </w:instrText>
          </w:r>
          <w:r>
            <w:fldChar w:fldCharType="separate"/>
          </w:r>
          <w:r>
            <w:rPr>
              <w:rStyle w:val="30"/>
              <w:rFonts w:ascii="方正小标宋_GBK" w:hAnsi="方正小标宋_GBK" w:cs="方正小标宋_GBK"/>
              <w:b/>
            </w:rPr>
            <w:t>第一章 现状与形势</w:t>
          </w:r>
          <w:r>
            <w:rPr>
              <w:b/>
            </w:rPr>
            <w:tab/>
          </w:r>
          <w:r>
            <w:rPr>
              <w:b/>
            </w:rPr>
            <w:fldChar w:fldCharType="begin"/>
          </w:r>
          <w:r>
            <w:rPr>
              <w:b/>
            </w:rPr>
            <w:instrText xml:space="preserve"> PAGEREF _Toc213018236 \h </w:instrText>
          </w:r>
          <w:r>
            <w:rPr>
              <w:b/>
            </w:rPr>
            <w:fldChar w:fldCharType="separate"/>
          </w:r>
          <w:r>
            <w:rPr>
              <w:b/>
            </w:rPr>
            <w:t>3</w:t>
          </w:r>
          <w:r>
            <w:rPr>
              <w:b/>
            </w:rPr>
            <w:fldChar w:fldCharType="end"/>
          </w:r>
          <w:r>
            <w:rPr>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"_Toc213018237" </w:instrText>
          </w:r>
          <w:r>
            <w:fldChar w:fldCharType="separate"/>
          </w:r>
          <w:r>
            <w:rPr>
              <w:rStyle w:val="30"/>
            </w:rPr>
            <w:t>第一节</w:t>
          </w:r>
          <w:r>
            <w:rPr>
              <w:rFonts w:asciiTheme="minorHAnsi" w:hAnsiTheme="minorHAnsi" w:eastAsiaTheme="minorEastAsia" w:cstheme="minorBidi"/>
              <w:sz w:val="21"/>
              <w:szCs w:val="22"/>
            </w:rPr>
            <w:tab/>
          </w:r>
          <w:r>
            <w:rPr>
              <w:rStyle w:val="30"/>
            </w:rPr>
            <w:t>现状基础</w:t>
          </w:r>
          <w:r>
            <w:tab/>
          </w:r>
          <w:r>
            <w:fldChar w:fldCharType="begin"/>
          </w:r>
          <w:r>
            <w:instrText xml:space="preserve"> PAGEREF _Toc213018237 \h </w:instrText>
          </w:r>
          <w:r>
            <w:fldChar w:fldCharType="separate"/>
          </w:r>
          <w:r>
            <w:t>3</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"_Toc213018238" </w:instrText>
          </w:r>
          <w:r>
            <w:fldChar w:fldCharType="separate"/>
          </w:r>
          <w:r>
            <w:rPr>
              <w:rStyle w:val="30"/>
            </w:rPr>
            <w:t>第二节</w:t>
          </w:r>
          <w:r>
            <w:rPr>
              <w:rFonts w:asciiTheme="minorHAnsi" w:hAnsiTheme="minorHAnsi" w:eastAsiaTheme="minorEastAsia" w:cstheme="minorBidi"/>
              <w:sz w:val="21"/>
              <w:szCs w:val="22"/>
            </w:rPr>
            <w:tab/>
          </w:r>
          <w:r>
            <w:rPr>
              <w:rStyle w:val="30"/>
            </w:rPr>
            <w:t>发展形势</w:t>
          </w:r>
          <w:r>
            <w:tab/>
          </w:r>
          <w:r>
            <w:fldChar w:fldCharType="begin"/>
          </w:r>
          <w:r>
            <w:instrText xml:space="preserve"> PAGEREF _Toc213018238 \h </w:instrText>
          </w:r>
          <w:r>
            <w:fldChar w:fldCharType="separate"/>
          </w:r>
          <w:r>
            <w:t>7</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"_Toc213018239" </w:instrText>
          </w:r>
          <w:r>
            <w:fldChar w:fldCharType="separate"/>
          </w:r>
          <w:r>
            <w:rPr>
              <w:rStyle w:val="30"/>
            </w:rPr>
            <w:t>第三节</w:t>
          </w:r>
          <w:r>
            <w:rPr>
              <w:rFonts w:asciiTheme="minorHAnsi" w:hAnsiTheme="minorHAnsi" w:eastAsiaTheme="minorEastAsia" w:cstheme="minorBidi"/>
              <w:sz w:val="21"/>
              <w:szCs w:val="22"/>
            </w:rPr>
            <w:tab/>
          </w:r>
          <w:r>
            <w:rPr>
              <w:rStyle w:val="30"/>
            </w:rPr>
            <w:t>问题风险</w:t>
          </w:r>
          <w:r>
            <w:tab/>
          </w:r>
          <w:r>
            <w:fldChar w:fldCharType="begin"/>
          </w:r>
          <w:r>
            <w:instrText xml:space="preserve"> PAGEREF _Toc213018239 \h </w:instrText>
          </w:r>
          <w:r>
            <w:fldChar w:fldCharType="separate"/>
          </w:r>
          <w:r>
            <w:t>8</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"_Toc213018240" </w:instrText>
          </w:r>
          <w:r>
            <w:fldChar w:fldCharType="separate"/>
          </w:r>
          <w:r>
            <w:rPr>
              <w:rStyle w:val="30"/>
              <w:rFonts w:ascii="方正小标宋_GBK" w:hAnsi="方正小标宋_GBK" w:cs="方正小标宋_GBK"/>
              <w:b/>
            </w:rPr>
            <w:t>第二章 规划目标与空间战略</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_Toc213018240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11</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"_Toc213018241" </w:instrText>
          </w:r>
          <w:r>
            <w:fldChar w:fldCharType="separate"/>
          </w:r>
          <w:r>
            <w:rPr>
              <w:rStyle w:val="30"/>
            </w:rPr>
            <w:t>第一节</w:t>
          </w:r>
          <w:r>
            <w:rPr>
              <w:rFonts w:asciiTheme="minorHAnsi" w:hAnsiTheme="minorHAnsi" w:eastAsiaTheme="minorEastAsia" w:cstheme="minorBidi"/>
              <w:sz w:val="21"/>
              <w:szCs w:val="22"/>
            </w:rPr>
            <w:tab/>
          </w:r>
          <w:r>
            <w:rPr>
              <w:rStyle w:val="30"/>
            </w:rPr>
            <w:t>总体要求</w:t>
          </w:r>
          <w:r>
            <w:tab/>
          </w:r>
          <w:r>
            <w:fldChar w:fldCharType="begin"/>
          </w:r>
          <w:r>
            <w:instrText xml:space="preserve"> PAGEREF _Toc213018241 \h </w:instrText>
          </w:r>
          <w:r>
            <w:fldChar w:fldCharType="separate"/>
          </w:r>
          <w:r>
            <w:t>11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"_Toc213018242" </w:instrText>
          </w:r>
          <w:r>
            <w:fldChar w:fldCharType="separate"/>
          </w:r>
          <w:r>
            <w:rPr>
              <w:rStyle w:val="30"/>
            </w:rPr>
            <w:t>第二节</w:t>
          </w:r>
          <w:r>
            <w:rPr>
              <w:rFonts w:asciiTheme="minorHAnsi" w:hAnsiTheme="minorHAnsi" w:eastAsiaTheme="minorEastAsia" w:cstheme="minorBidi"/>
              <w:sz w:val="21"/>
              <w:szCs w:val="22"/>
            </w:rPr>
            <w:tab/>
          </w:r>
          <w:r>
            <w:rPr>
              <w:rStyle w:val="30"/>
            </w:rPr>
            <w:t>城市定位与城市性质</w:t>
          </w:r>
          <w:r>
            <w:tab/>
          </w:r>
          <w:r>
            <w:fldChar w:fldCharType="begin"/>
          </w:r>
          <w:r>
            <w:instrText xml:space="preserve"> PAGEREF _Toc213018242 \h </w:instrText>
          </w:r>
          <w:r>
            <w:fldChar w:fldCharType="separate"/>
          </w:r>
          <w:r>
            <w:t>12</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"_Toc213018243" </w:instrText>
          </w:r>
          <w:r>
            <w:fldChar w:fldCharType="separate"/>
          </w:r>
          <w:r>
            <w:rPr>
              <w:rStyle w:val="30"/>
            </w:rPr>
            <w:t>第三节</w:t>
          </w:r>
          <w:r>
            <w:rPr>
              <w:rFonts w:asciiTheme="minorHAnsi" w:hAnsiTheme="minorHAnsi" w:eastAsiaTheme="minorEastAsia" w:cstheme="minorBidi"/>
              <w:sz w:val="21"/>
              <w:szCs w:val="22"/>
            </w:rPr>
            <w:tab/>
          </w:r>
          <w:r>
            <w:rPr>
              <w:rStyle w:val="30"/>
            </w:rPr>
            <w:t>规划目标与空间战略</w:t>
          </w:r>
          <w:r>
            <w:tab/>
          </w:r>
          <w:r>
            <w:fldChar w:fldCharType="begin"/>
          </w:r>
          <w:r>
            <w:instrText xml:space="preserve"> PAGEREF _Toc213018243 \h </w:instrText>
          </w:r>
          <w:r>
            <w:fldChar w:fldCharType="separate"/>
          </w:r>
          <w:r>
            <w:t>13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"_Toc213018244" </w:instrText>
          </w:r>
          <w:r>
            <w:fldChar w:fldCharType="separate"/>
          </w:r>
          <w:r>
            <w:rPr>
              <w:rStyle w:val="30"/>
              <w:rFonts w:ascii="方正小标宋_GBK" w:hAnsi="方正小标宋_GBK" w:cs="方正小标宋_GBK"/>
              <w:b/>
            </w:rPr>
            <w:t>第三章 国土空间开发保护总体格局</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_Toc213018244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16</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"_Toc213018245" </w:instrText>
          </w:r>
          <w:r>
            <w:fldChar w:fldCharType="separate"/>
          </w:r>
          <w:r>
            <w:rPr>
              <w:rStyle w:val="30"/>
            </w:rPr>
            <w:t>第一节</w:t>
          </w:r>
          <w:r>
            <w:rPr>
              <w:rFonts w:asciiTheme="minorHAnsi" w:hAnsiTheme="minorHAnsi" w:eastAsiaTheme="minorEastAsia" w:cstheme="minorBidi"/>
              <w:sz w:val="21"/>
              <w:szCs w:val="22"/>
            </w:rPr>
            <w:tab/>
          </w:r>
          <w:r>
            <w:rPr>
              <w:rStyle w:val="30"/>
            </w:rPr>
            <w:t>三条控制线</w:t>
          </w:r>
          <w:r>
            <w:tab/>
          </w:r>
          <w:r>
            <w:fldChar w:fldCharType="begin"/>
          </w:r>
          <w:r>
            <w:instrText xml:space="preserve"> PAGEREF _Toc213018245 \h </w:instrText>
          </w:r>
          <w:r>
            <w:fldChar w:fldCharType="separate"/>
          </w:r>
          <w:r>
            <w:t>16</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"_Toc213018246" </w:instrText>
          </w:r>
          <w:r>
            <w:fldChar w:fldCharType="separate"/>
          </w:r>
          <w:r>
            <w:rPr>
              <w:rStyle w:val="30"/>
            </w:rPr>
            <w:t>第二节</w:t>
          </w:r>
          <w:r>
            <w:rPr>
              <w:rFonts w:asciiTheme="minorHAnsi" w:hAnsiTheme="minorHAnsi" w:eastAsiaTheme="minorEastAsia" w:cstheme="minorBidi"/>
              <w:sz w:val="21"/>
              <w:szCs w:val="22"/>
            </w:rPr>
            <w:tab/>
          </w:r>
          <w:r>
            <w:rPr>
              <w:rStyle w:val="30"/>
            </w:rPr>
            <w:t>开发保护新格局</w:t>
          </w:r>
          <w:r>
            <w:tab/>
          </w:r>
          <w:r>
            <w:fldChar w:fldCharType="begin"/>
          </w:r>
          <w:r>
            <w:instrText xml:space="preserve"> PAGEREF _Toc213018246 \h </w:instrText>
          </w:r>
          <w:r>
            <w:fldChar w:fldCharType="separate"/>
          </w:r>
          <w:r>
            <w:t>17</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"_Toc213018247" </w:instrText>
          </w:r>
          <w:r>
            <w:fldChar w:fldCharType="separate"/>
          </w:r>
          <w:r>
            <w:rPr>
              <w:rStyle w:val="30"/>
              <w:rFonts w:ascii="方正小标宋_GBK" w:hAnsi="方正小标宋_GBK" w:cs="方正小标宋_GBK"/>
              <w:b/>
            </w:rPr>
            <w:t>第四章 农业生产空间</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_Toc213018247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21</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"_Toc213018248" </w:instrText>
          </w:r>
          <w:r>
            <w:fldChar w:fldCharType="separate"/>
          </w:r>
          <w:r>
            <w:rPr>
              <w:rStyle w:val="30"/>
            </w:rPr>
            <w:t>第一节</w:t>
          </w:r>
          <w:r>
            <w:rPr>
              <w:rFonts w:asciiTheme="minorHAnsi" w:hAnsiTheme="minorHAnsi" w:eastAsiaTheme="minorEastAsia" w:cstheme="minorBidi"/>
              <w:sz w:val="21"/>
              <w:szCs w:val="22"/>
            </w:rPr>
            <w:tab/>
          </w:r>
          <w:r>
            <w:rPr>
              <w:rStyle w:val="30"/>
            </w:rPr>
            <w:t>耕地保护</w:t>
          </w:r>
          <w:r>
            <w:tab/>
          </w:r>
          <w:r>
            <w:fldChar w:fldCharType="begin"/>
          </w:r>
          <w:r>
            <w:instrText xml:space="preserve"> PAGEREF _Toc213018248 \h </w:instrText>
          </w:r>
          <w:r>
            <w:fldChar w:fldCharType="separate"/>
          </w:r>
          <w:r>
            <w:t>21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"_Toc213018249" </w:instrText>
          </w:r>
          <w:r>
            <w:fldChar w:fldCharType="separate"/>
          </w:r>
          <w:r>
            <w:rPr>
              <w:rStyle w:val="30"/>
            </w:rPr>
            <w:t>第二节</w:t>
          </w:r>
          <w:r>
            <w:rPr>
              <w:rFonts w:asciiTheme="minorHAnsi" w:hAnsiTheme="minorHAnsi" w:eastAsiaTheme="minorEastAsia" w:cstheme="minorBidi"/>
              <w:sz w:val="21"/>
              <w:szCs w:val="22"/>
            </w:rPr>
            <w:tab/>
          </w:r>
          <w:r>
            <w:rPr>
              <w:rStyle w:val="30"/>
            </w:rPr>
            <w:t>农业空间布局</w:t>
          </w:r>
          <w:r>
            <w:tab/>
          </w:r>
          <w:r>
            <w:fldChar w:fldCharType="begin"/>
          </w:r>
          <w:r>
            <w:instrText xml:space="preserve"> PAGEREF _Toc213018249 \h </w:instrText>
          </w:r>
          <w:r>
            <w:fldChar w:fldCharType="separate"/>
          </w:r>
          <w:r>
            <w:t>25</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"_Toc213018250" </w:instrText>
          </w:r>
          <w:r>
            <w:fldChar w:fldCharType="separate"/>
          </w:r>
          <w:r>
            <w:rPr>
              <w:rStyle w:val="30"/>
            </w:rPr>
            <w:t>第三节</w:t>
          </w:r>
          <w:r>
            <w:rPr>
              <w:rFonts w:asciiTheme="minorHAnsi" w:hAnsiTheme="minorHAnsi" w:eastAsiaTheme="minorEastAsia" w:cstheme="minorBidi"/>
              <w:sz w:val="21"/>
              <w:szCs w:val="22"/>
            </w:rPr>
            <w:tab/>
          </w:r>
          <w:r>
            <w:rPr>
              <w:rStyle w:val="30"/>
            </w:rPr>
            <w:t>乡村振兴</w:t>
          </w:r>
          <w:r>
            <w:tab/>
          </w:r>
          <w:r>
            <w:fldChar w:fldCharType="begin"/>
          </w:r>
          <w:r>
            <w:instrText xml:space="preserve"> PAGEREF _Toc213018250 \h </w:instrText>
          </w:r>
          <w:r>
            <w:fldChar w:fldCharType="separate"/>
          </w:r>
          <w:r>
            <w:t>28</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"_Toc213018251" </w:instrText>
          </w:r>
          <w:r>
            <w:fldChar w:fldCharType="separate"/>
          </w:r>
          <w:r>
            <w:rPr>
              <w:rStyle w:val="30"/>
              <w:rFonts w:ascii="方正小标宋_GBK" w:hAnsi="方正小标宋_GBK" w:cs="方正小标宋_GBK"/>
              <w:b/>
            </w:rPr>
            <w:t>第五章 生态保护空间</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_Toc213018251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31</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"_Toc213018252" </w:instrText>
          </w:r>
          <w:r>
            <w:fldChar w:fldCharType="separate"/>
          </w:r>
          <w:r>
            <w:rPr>
              <w:rStyle w:val="30"/>
            </w:rPr>
            <w:t>第一节</w:t>
          </w:r>
          <w:r>
            <w:rPr>
              <w:rFonts w:asciiTheme="minorHAnsi" w:hAnsiTheme="minorHAnsi" w:eastAsiaTheme="minorEastAsia" w:cstheme="minorBidi"/>
              <w:sz w:val="21"/>
              <w:szCs w:val="22"/>
            </w:rPr>
            <w:tab/>
          </w:r>
          <w:r>
            <w:rPr>
              <w:rStyle w:val="30"/>
            </w:rPr>
            <w:t>自然保护地体系</w:t>
          </w:r>
          <w:r>
            <w:tab/>
          </w:r>
          <w:r>
            <w:fldChar w:fldCharType="begin"/>
          </w:r>
          <w:r>
            <w:instrText xml:space="preserve"> PAGEREF _Toc213018252 \h </w:instrText>
          </w:r>
          <w:r>
            <w:fldChar w:fldCharType="separate"/>
          </w:r>
          <w:r>
            <w:t>31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"_Toc213018253" </w:instrText>
          </w:r>
          <w:r>
            <w:fldChar w:fldCharType="separate"/>
          </w:r>
          <w:r>
            <w:rPr>
              <w:rStyle w:val="30"/>
            </w:rPr>
            <w:t>第二节</w:t>
          </w:r>
          <w:r>
            <w:rPr>
              <w:rFonts w:asciiTheme="minorHAnsi" w:hAnsiTheme="minorHAnsi" w:eastAsiaTheme="minorEastAsia" w:cstheme="minorBidi"/>
              <w:sz w:val="21"/>
              <w:szCs w:val="22"/>
            </w:rPr>
            <w:tab/>
          </w:r>
          <w:r>
            <w:rPr>
              <w:rStyle w:val="30"/>
            </w:rPr>
            <w:t>生态安全格局</w:t>
          </w:r>
          <w:r>
            <w:tab/>
          </w:r>
          <w:r>
            <w:fldChar w:fldCharType="begin"/>
          </w:r>
          <w:r>
            <w:instrText xml:space="preserve"> PAGEREF _Toc213018253 \h </w:instrText>
          </w:r>
          <w:r>
            <w:fldChar w:fldCharType="separate"/>
          </w:r>
          <w:r>
            <w:t>31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"_Toc213018254" </w:instrText>
          </w:r>
          <w:r>
            <w:fldChar w:fldCharType="separate"/>
          </w:r>
          <w:r>
            <w:rPr>
              <w:rStyle w:val="30"/>
            </w:rPr>
            <w:t>第三节</w:t>
          </w:r>
          <w:r>
            <w:rPr>
              <w:rFonts w:asciiTheme="minorHAnsi" w:hAnsiTheme="minorHAnsi" w:eastAsiaTheme="minorEastAsia" w:cstheme="minorBidi"/>
              <w:sz w:val="21"/>
              <w:szCs w:val="22"/>
            </w:rPr>
            <w:tab/>
          </w:r>
          <w:r>
            <w:rPr>
              <w:rStyle w:val="30"/>
            </w:rPr>
            <w:t>生态产品价值实现</w:t>
          </w:r>
          <w:r>
            <w:tab/>
          </w:r>
          <w:r>
            <w:fldChar w:fldCharType="begin"/>
          </w:r>
          <w:r>
            <w:instrText xml:space="preserve"> PAGEREF _Toc213018254 \h </w:instrText>
          </w:r>
          <w:r>
            <w:fldChar w:fldCharType="separate"/>
          </w:r>
          <w:r>
            <w:t>33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"_Toc213018255" </w:instrText>
          </w:r>
          <w:r>
            <w:fldChar w:fldCharType="separate"/>
          </w:r>
          <w:r>
            <w:rPr>
              <w:rStyle w:val="30"/>
              <w:rFonts w:ascii="方正小标宋_GBK" w:hAnsi="方正小标宋_GBK" w:cs="方正小标宋_GBK"/>
              <w:b/>
            </w:rPr>
            <w:t>第六章 城乡发展空间</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_Toc213018255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35</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"_Toc213018256" </w:instrText>
          </w:r>
          <w:r>
            <w:fldChar w:fldCharType="separate"/>
          </w:r>
          <w:r>
            <w:rPr>
              <w:rStyle w:val="30"/>
            </w:rPr>
            <w:t>第一节</w:t>
          </w:r>
          <w:r>
            <w:rPr>
              <w:rFonts w:asciiTheme="minorHAnsi" w:hAnsiTheme="minorHAnsi" w:eastAsiaTheme="minorEastAsia" w:cstheme="minorBidi"/>
              <w:sz w:val="21"/>
              <w:szCs w:val="22"/>
            </w:rPr>
            <w:tab/>
          </w:r>
          <w:r>
            <w:rPr>
              <w:rStyle w:val="30"/>
            </w:rPr>
            <w:t>城镇体系规划</w:t>
          </w:r>
          <w:r>
            <w:tab/>
          </w:r>
          <w:r>
            <w:fldChar w:fldCharType="begin"/>
          </w:r>
          <w:r>
            <w:instrText xml:space="preserve"> PAGEREF _Toc213018256 \h </w:instrText>
          </w:r>
          <w:r>
            <w:fldChar w:fldCharType="separate"/>
          </w:r>
          <w:r>
            <w:t>35</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"_Toc213018257" </w:instrText>
          </w:r>
          <w:r>
            <w:fldChar w:fldCharType="separate"/>
          </w:r>
          <w:r>
            <w:rPr>
              <w:rStyle w:val="30"/>
            </w:rPr>
            <w:t>第二节</w:t>
          </w:r>
          <w:r>
            <w:rPr>
              <w:rFonts w:asciiTheme="minorHAnsi" w:hAnsiTheme="minorHAnsi" w:eastAsiaTheme="minorEastAsia" w:cstheme="minorBidi"/>
              <w:sz w:val="21"/>
              <w:szCs w:val="22"/>
            </w:rPr>
            <w:tab/>
          </w:r>
          <w:r>
            <w:rPr>
              <w:rStyle w:val="30"/>
            </w:rPr>
            <w:t>产业发展空间布局</w:t>
          </w:r>
          <w:r>
            <w:tab/>
          </w:r>
          <w:r>
            <w:fldChar w:fldCharType="begin"/>
          </w:r>
          <w:r>
            <w:instrText xml:space="preserve"> PAGEREF _Toc213018257 \h </w:instrText>
          </w:r>
          <w:r>
            <w:fldChar w:fldCharType="separate"/>
          </w:r>
          <w:r>
            <w:t>37</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"_Toc213018258" </w:instrText>
          </w:r>
          <w:r>
            <w:fldChar w:fldCharType="separate"/>
          </w:r>
          <w:r>
            <w:rPr>
              <w:rStyle w:val="30"/>
            </w:rPr>
            <w:t>第三节</w:t>
          </w:r>
          <w:r>
            <w:rPr>
              <w:rFonts w:asciiTheme="minorHAnsi" w:hAnsiTheme="minorHAnsi" w:eastAsiaTheme="minorEastAsia" w:cstheme="minorBidi"/>
              <w:sz w:val="21"/>
              <w:szCs w:val="22"/>
            </w:rPr>
            <w:tab/>
          </w:r>
          <w:r>
            <w:rPr>
              <w:rStyle w:val="30"/>
            </w:rPr>
            <w:t>村庄分类引导</w:t>
          </w:r>
          <w:r>
            <w:tab/>
          </w:r>
          <w:r>
            <w:fldChar w:fldCharType="begin"/>
          </w:r>
          <w:r>
            <w:instrText xml:space="preserve"> PAGEREF _Toc213018258 \h </w:instrText>
          </w:r>
          <w:r>
            <w:fldChar w:fldCharType="separate"/>
          </w:r>
          <w:r>
            <w:t>40</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"_Toc213018259" </w:instrText>
          </w:r>
          <w:r>
            <w:fldChar w:fldCharType="separate"/>
          </w:r>
          <w:r>
            <w:rPr>
              <w:rStyle w:val="30"/>
              <w:rFonts w:ascii="方正小标宋_GBK" w:hAnsi="方正小标宋_GBK" w:cs="方正小标宋_GBK"/>
              <w:b/>
            </w:rPr>
            <w:t>第七章 中心城区功能完善与品质提升</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_Toc213018259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43</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"_Toc213018260" </w:instrText>
          </w:r>
          <w:r>
            <w:fldChar w:fldCharType="separate"/>
          </w:r>
          <w:r>
            <w:rPr>
              <w:rStyle w:val="30"/>
            </w:rPr>
            <w:t>第一节</w:t>
          </w:r>
          <w:r>
            <w:rPr>
              <w:rFonts w:asciiTheme="minorHAnsi" w:hAnsiTheme="minorHAnsi" w:eastAsiaTheme="minorEastAsia" w:cstheme="minorBidi"/>
              <w:sz w:val="21"/>
              <w:szCs w:val="22"/>
            </w:rPr>
            <w:tab/>
          </w:r>
          <w:r>
            <w:rPr>
              <w:rStyle w:val="30"/>
            </w:rPr>
            <w:t>空间结构优化</w:t>
          </w:r>
          <w:r>
            <w:tab/>
          </w:r>
          <w:r>
            <w:fldChar w:fldCharType="begin"/>
          </w:r>
          <w:r>
            <w:instrText xml:space="preserve"> PAGEREF _Toc213018260 \h </w:instrText>
          </w:r>
          <w:r>
            <w:fldChar w:fldCharType="separate"/>
          </w:r>
          <w:r>
            <w:t>43</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"_Toc213018261" </w:instrText>
          </w:r>
          <w:r>
            <w:fldChar w:fldCharType="separate"/>
          </w:r>
          <w:r>
            <w:rPr>
              <w:rStyle w:val="30"/>
            </w:rPr>
            <w:t>第二节</w:t>
          </w:r>
          <w:r>
            <w:rPr>
              <w:rFonts w:asciiTheme="minorHAnsi" w:hAnsiTheme="minorHAnsi" w:eastAsiaTheme="minorEastAsia" w:cstheme="minorBidi"/>
              <w:sz w:val="21"/>
              <w:szCs w:val="22"/>
            </w:rPr>
            <w:tab/>
          </w:r>
          <w:r>
            <w:rPr>
              <w:rStyle w:val="30"/>
            </w:rPr>
            <w:t>产业空间优化</w:t>
          </w:r>
          <w:r>
            <w:tab/>
          </w:r>
          <w:r>
            <w:fldChar w:fldCharType="begin"/>
          </w:r>
          <w:r>
            <w:instrText xml:space="preserve"> PAGEREF _Toc213018261 \h </w:instrText>
          </w:r>
          <w:r>
            <w:fldChar w:fldCharType="separate"/>
          </w:r>
          <w:r>
            <w:t>45</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"_Toc213018262" </w:instrText>
          </w:r>
          <w:r>
            <w:fldChar w:fldCharType="separate"/>
          </w:r>
          <w:r>
            <w:rPr>
              <w:rStyle w:val="30"/>
            </w:rPr>
            <w:t>第三节</w:t>
          </w:r>
          <w:r>
            <w:rPr>
              <w:rFonts w:asciiTheme="minorHAnsi" w:hAnsiTheme="minorHAnsi" w:eastAsiaTheme="minorEastAsia" w:cstheme="minorBidi"/>
              <w:sz w:val="21"/>
              <w:szCs w:val="22"/>
            </w:rPr>
            <w:tab/>
          </w:r>
          <w:r>
            <w:rPr>
              <w:rStyle w:val="30"/>
            </w:rPr>
            <w:t>居住用地与住房保障</w:t>
          </w:r>
          <w:r>
            <w:tab/>
          </w:r>
          <w:r>
            <w:fldChar w:fldCharType="begin"/>
          </w:r>
          <w:r>
            <w:instrText xml:space="preserve"> PAGEREF _Toc213018262 \h </w:instrText>
          </w:r>
          <w:r>
            <w:fldChar w:fldCharType="separate"/>
          </w:r>
          <w:r>
            <w:t>46</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"_Toc213018263" </w:instrText>
          </w:r>
          <w:r>
            <w:fldChar w:fldCharType="separate"/>
          </w:r>
          <w:r>
            <w:rPr>
              <w:rStyle w:val="30"/>
            </w:rPr>
            <w:t>第四节</w:t>
          </w:r>
          <w:r>
            <w:rPr>
              <w:rFonts w:asciiTheme="minorHAnsi" w:hAnsiTheme="minorHAnsi" w:eastAsiaTheme="minorEastAsia" w:cstheme="minorBidi"/>
              <w:sz w:val="21"/>
              <w:szCs w:val="22"/>
            </w:rPr>
            <w:tab/>
          </w:r>
          <w:r>
            <w:rPr>
              <w:rStyle w:val="30"/>
            </w:rPr>
            <w:t>公共服务和社区生活圈</w:t>
          </w:r>
          <w:r>
            <w:tab/>
          </w:r>
          <w:r>
            <w:fldChar w:fldCharType="begin"/>
          </w:r>
          <w:r>
            <w:instrText xml:space="preserve"> PAGEREF _Toc213018263 \h </w:instrText>
          </w:r>
          <w:r>
            <w:fldChar w:fldCharType="separate"/>
          </w:r>
          <w:r>
            <w:t>47</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"_Toc213018264" </w:instrText>
          </w:r>
          <w:r>
            <w:fldChar w:fldCharType="separate"/>
          </w:r>
          <w:r>
            <w:rPr>
              <w:rStyle w:val="30"/>
            </w:rPr>
            <w:t>第五节</w:t>
          </w:r>
          <w:r>
            <w:rPr>
              <w:rFonts w:asciiTheme="minorHAnsi" w:hAnsiTheme="minorHAnsi" w:eastAsiaTheme="minorEastAsia" w:cstheme="minorBidi"/>
              <w:sz w:val="21"/>
              <w:szCs w:val="22"/>
            </w:rPr>
            <w:tab/>
          </w:r>
          <w:r>
            <w:rPr>
              <w:rStyle w:val="30"/>
            </w:rPr>
            <w:t>蓝绿网络和开敞空间</w:t>
          </w:r>
          <w:r>
            <w:tab/>
          </w:r>
          <w:r>
            <w:fldChar w:fldCharType="begin"/>
          </w:r>
          <w:r>
            <w:instrText xml:space="preserve"> PAGEREF _Toc213018264 \h </w:instrText>
          </w:r>
          <w:r>
            <w:fldChar w:fldCharType="separate"/>
          </w:r>
          <w:r>
            <w:t>51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"_Toc213018265" </w:instrText>
          </w:r>
          <w:r>
            <w:fldChar w:fldCharType="separate"/>
          </w:r>
          <w:r>
            <w:rPr>
              <w:rStyle w:val="30"/>
            </w:rPr>
            <w:t>第六节</w:t>
          </w:r>
          <w:r>
            <w:rPr>
              <w:rFonts w:asciiTheme="minorHAnsi" w:hAnsiTheme="minorHAnsi" w:eastAsiaTheme="minorEastAsia" w:cstheme="minorBidi"/>
              <w:sz w:val="21"/>
              <w:szCs w:val="22"/>
            </w:rPr>
            <w:tab/>
          </w:r>
          <w:r>
            <w:rPr>
              <w:rStyle w:val="30"/>
            </w:rPr>
            <w:t>城市综合交通</w:t>
          </w:r>
          <w:r>
            <w:tab/>
          </w:r>
          <w:r>
            <w:fldChar w:fldCharType="begin"/>
          </w:r>
          <w:r>
            <w:instrText xml:space="preserve"> PAGEREF _Toc213018265 \h </w:instrText>
          </w:r>
          <w:r>
            <w:fldChar w:fldCharType="separate"/>
          </w:r>
          <w:r>
            <w:t>55</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"_Toc213018266" </w:instrText>
          </w:r>
          <w:r>
            <w:fldChar w:fldCharType="separate"/>
          </w:r>
          <w:r>
            <w:rPr>
              <w:rStyle w:val="30"/>
            </w:rPr>
            <w:t>第七节</w:t>
          </w:r>
          <w:r>
            <w:rPr>
              <w:rFonts w:asciiTheme="minorHAnsi" w:hAnsiTheme="minorHAnsi" w:eastAsiaTheme="minorEastAsia" w:cstheme="minorBidi"/>
              <w:sz w:val="21"/>
              <w:szCs w:val="22"/>
            </w:rPr>
            <w:tab/>
          </w:r>
          <w:r>
            <w:rPr>
              <w:rStyle w:val="30"/>
            </w:rPr>
            <w:t>历史文化保护</w:t>
          </w:r>
          <w:r>
            <w:tab/>
          </w:r>
          <w:r>
            <w:fldChar w:fldCharType="begin"/>
          </w:r>
          <w:r>
            <w:instrText xml:space="preserve"> PAGEREF _Toc213018266 \h </w:instrText>
          </w:r>
          <w:r>
            <w:fldChar w:fldCharType="separate"/>
          </w:r>
          <w:r>
            <w:t>58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"_Toc213018267" </w:instrText>
          </w:r>
          <w:r>
            <w:fldChar w:fldCharType="separate"/>
          </w:r>
          <w:r>
            <w:rPr>
              <w:rStyle w:val="30"/>
            </w:rPr>
            <w:t>第八节</w:t>
          </w:r>
          <w:r>
            <w:rPr>
              <w:rFonts w:asciiTheme="minorHAnsi" w:hAnsiTheme="minorHAnsi" w:eastAsiaTheme="minorEastAsia" w:cstheme="minorBidi"/>
              <w:sz w:val="21"/>
              <w:szCs w:val="22"/>
            </w:rPr>
            <w:tab/>
          </w:r>
          <w:r>
            <w:rPr>
              <w:rStyle w:val="30"/>
            </w:rPr>
            <w:t>市政基础设施</w:t>
          </w:r>
          <w:r>
            <w:tab/>
          </w:r>
          <w:r>
            <w:fldChar w:fldCharType="begin"/>
          </w:r>
          <w:r>
            <w:instrText xml:space="preserve"> PAGEREF _Toc213018267 \h </w:instrText>
          </w:r>
          <w:r>
            <w:fldChar w:fldCharType="separate"/>
          </w:r>
          <w:r>
            <w:t>59</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"_Toc213018268" </w:instrText>
          </w:r>
          <w:r>
            <w:fldChar w:fldCharType="separate"/>
          </w:r>
          <w:r>
            <w:rPr>
              <w:rStyle w:val="30"/>
            </w:rPr>
            <w:t>第九节</w:t>
          </w:r>
          <w:r>
            <w:rPr>
              <w:rFonts w:asciiTheme="minorHAnsi" w:hAnsiTheme="minorHAnsi" w:eastAsiaTheme="minorEastAsia" w:cstheme="minorBidi"/>
              <w:sz w:val="21"/>
              <w:szCs w:val="22"/>
            </w:rPr>
            <w:tab/>
          </w:r>
          <w:r>
            <w:rPr>
              <w:rStyle w:val="30"/>
            </w:rPr>
            <w:t>公共安全与综合防灾</w:t>
          </w:r>
          <w:r>
            <w:tab/>
          </w:r>
          <w:r>
            <w:fldChar w:fldCharType="begin"/>
          </w:r>
          <w:r>
            <w:instrText xml:space="preserve"> PAGEREF _Toc213018268 \h </w:instrText>
          </w:r>
          <w:r>
            <w:fldChar w:fldCharType="separate"/>
          </w:r>
          <w:r>
            <w:t>64</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"_Toc213018269" </w:instrText>
          </w:r>
          <w:r>
            <w:fldChar w:fldCharType="separate"/>
          </w:r>
          <w:r>
            <w:rPr>
              <w:rStyle w:val="30"/>
            </w:rPr>
            <w:t>第十节</w:t>
          </w:r>
          <w:r>
            <w:rPr>
              <w:rFonts w:asciiTheme="minorHAnsi" w:hAnsiTheme="minorHAnsi" w:eastAsiaTheme="minorEastAsia" w:cstheme="minorBidi"/>
              <w:sz w:val="21"/>
              <w:szCs w:val="22"/>
            </w:rPr>
            <w:tab/>
          </w:r>
          <w:r>
            <w:rPr>
              <w:rStyle w:val="30"/>
            </w:rPr>
            <w:t>城市更新和存量土地盘活利用</w:t>
          </w:r>
          <w:r>
            <w:tab/>
          </w:r>
          <w:r>
            <w:fldChar w:fldCharType="begin"/>
          </w:r>
          <w:r>
            <w:instrText xml:space="preserve"> PAGEREF _Toc213018269 \h </w:instrText>
          </w:r>
          <w:r>
            <w:fldChar w:fldCharType="separate"/>
          </w:r>
          <w:r>
            <w:t>69</w:t>
          </w:r>
          <w:r>
            <w:fldChar w:fldCharType="end"/>
          </w:r>
          <w:r>
            <w:fldChar w:fldCharType="end"/>
          </w:r>
        </w:p>
        <w:p>
          <w:pPr>
            <w:pStyle w:val="20"/>
            <w:tabs>
              <w:tab w:val="left" w:pos="1264"/>
              <w:tab w:val="right" w:leader="dot" w:pos="8296"/>
            </w:tabs>
            <w:ind w:left="640" w:firstLine="640"/>
            <w:jc w:val="left"/>
            <w:rPr>
              <w:rFonts w:asciiTheme="minorHAnsi" w:hAnsiTheme="minorHAnsi" w:eastAsiaTheme="minorEastAsia" w:cstheme="minorBidi"/>
              <w:sz w:val="21"/>
              <w:szCs w:val="22"/>
            </w:rPr>
          </w:pPr>
          <w:r>
            <w:fldChar w:fldCharType="begin"/>
          </w:r>
          <w:r>
            <w:instrText xml:space="preserve"> HYPERLINK \l "_Toc213018270" </w:instrText>
          </w:r>
          <w:r>
            <w:fldChar w:fldCharType="separate"/>
          </w:r>
          <w:r>
            <w:rPr>
              <w:rStyle w:val="30"/>
            </w:rPr>
            <w:t>第十一节地下空间开发利用</w:t>
          </w:r>
          <w:r>
            <w:tab/>
          </w:r>
          <w:r>
            <w:fldChar w:fldCharType="begin"/>
          </w:r>
          <w:r>
            <w:instrText xml:space="preserve"> PAGEREF _Toc213018270 \h </w:instrText>
          </w:r>
          <w:r>
            <w:fldChar w:fldCharType="separate"/>
          </w:r>
          <w:r>
            <w:t>71</w:t>
          </w:r>
          <w:r>
            <w:fldChar w:fldCharType="end"/>
          </w:r>
          <w:r>
            <w:fldChar w:fldCharType="end"/>
          </w:r>
        </w:p>
        <w:p>
          <w:pPr>
            <w:pStyle w:val="20"/>
            <w:tabs>
              <w:tab w:val="left" w:pos="2550"/>
              <w:tab w:val="right" w:leader="dot" w:pos="8296"/>
            </w:tabs>
            <w:ind w:left="640" w:firstLine="640"/>
            <w:jc w:val="left"/>
            <w:rPr>
              <w:rFonts w:asciiTheme="minorHAnsi" w:hAnsiTheme="minorHAnsi" w:eastAsiaTheme="minorEastAsia" w:cstheme="minorBidi"/>
              <w:sz w:val="21"/>
              <w:szCs w:val="22"/>
            </w:rPr>
          </w:pPr>
          <w:r>
            <w:fldChar w:fldCharType="begin"/>
          </w:r>
          <w:r>
            <w:instrText xml:space="preserve"> HYPERLINK \l "_Toc213018271" </w:instrText>
          </w:r>
          <w:r>
            <w:fldChar w:fldCharType="separate"/>
          </w:r>
          <w:r>
            <w:rPr>
              <w:rStyle w:val="30"/>
            </w:rPr>
            <w:t>第十二节总体城市设计</w:t>
          </w:r>
          <w:r>
            <w:tab/>
          </w:r>
          <w:r>
            <w:fldChar w:fldCharType="begin"/>
          </w:r>
          <w:r>
            <w:instrText xml:space="preserve"> PAGEREF _Toc213018271 \h </w:instrText>
          </w:r>
          <w:r>
            <w:fldChar w:fldCharType="separate"/>
          </w:r>
          <w:r>
            <w:t>73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"_Toc213018272" </w:instrText>
          </w:r>
          <w:r>
            <w:fldChar w:fldCharType="separate"/>
          </w:r>
          <w:r>
            <w:rPr>
              <w:rStyle w:val="30"/>
              <w:rFonts w:ascii="方正小标宋_GBK" w:hAnsi="方正小标宋_GBK" w:cs="方正小标宋_GBK"/>
              <w:b/>
            </w:rPr>
            <w:t>第八章 资源统筹保护与利用</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_Toc213018272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78</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"_Toc213018273" </w:instrText>
          </w:r>
          <w:r>
            <w:fldChar w:fldCharType="separate"/>
          </w:r>
          <w:r>
            <w:rPr>
              <w:rStyle w:val="30"/>
            </w:rPr>
            <w:t>第一节</w:t>
          </w:r>
          <w:r>
            <w:rPr>
              <w:rFonts w:asciiTheme="minorHAnsi" w:hAnsiTheme="minorHAnsi" w:eastAsiaTheme="minorEastAsia" w:cstheme="minorBidi"/>
              <w:sz w:val="21"/>
              <w:szCs w:val="22"/>
            </w:rPr>
            <w:tab/>
          </w:r>
          <w:r>
            <w:rPr>
              <w:rStyle w:val="30"/>
            </w:rPr>
            <w:t>水资源保护与利用</w:t>
          </w:r>
          <w:r>
            <w:tab/>
          </w:r>
          <w:r>
            <w:fldChar w:fldCharType="begin"/>
          </w:r>
          <w:r>
            <w:instrText xml:space="preserve"> PAGEREF _Toc213018273 \h </w:instrText>
          </w:r>
          <w:r>
            <w:fldChar w:fldCharType="separate"/>
          </w:r>
          <w:r>
            <w:t>78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"_Toc213018274" </w:instrText>
          </w:r>
          <w:r>
            <w:fldChar w:fldCharType="separate"/>
          </w:r>
          <w:r>
            <w:rPr>
              <w:rStyle w:val="30"/>
            </w:rPr>
            <w:t>第二节</w:t>
          </w:r>
          <w:r>
            <w:rPr>
              <w:rFonts w:asciiTheme="minorHAnsi" w:hAnsiTheme="minorHAnsi" w:eastAsiaTheme="minorEastAsia" w:cstheme="minorBidi"/>
              <w:sz w:val="21"/>
              <w:szCs w:val="22"/>
            </w:rPr>
            <w:tab/>
          </w:r>
          <w:r>
            <w:rPr>
              <w:rStyle w:val="30"/>
            </w:rPr>
            <w:t>林地资源保护与利用</w:t>
          </w:r>
          <w:r>
            <w:tab/>
          </w:r>
          <w:r>
            <w:fldChar w:fldCharType="begin"/>
          </w:r>
          <w:r>
            <w:instrText xml:space="preserve"> PAGEREF _Toc213018274 \h </w:instrText>
          </w:r>
          <w:r>
            <w:fldChar w:fldCharType="separate"/>
          </w:r>
          <w:r>
            <w:t>80</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"_Toc213018275" </w:instrText>
          </w:r>
          <w:r>
            <w:fldChar w:fldCharType="separate"/>
          </w:r>
          <w:r>
            <w:rPr>
              <w:rStyle w:val="30"/>
            </w:rPr>
            <w:t>第三节</w:t>
          </w:r>
          <w:r>
            <w:rPr>
              <w:rFonts w:asciiTheme="minorHAnsi" w:hAnsiTheme="minorHAnsi" w:eastAsiaTheme="minorEastAsia" w:cstheme="minorBidi"/>
              <w:sz w:val="21"/>
              <w:szCs w:val="22"/>
            </w:rPr>
            <w:tab/>
          </w:r>
          <w:r>
            <w:rPr>
              <w:rStyle w:val="30"/>
            </w:rPr>
            <w:t>建设用地节约集约和高效配置</w:t>
          </w:r>
          <w:r>
            <w:tab/>
          </w:r>
          <w:r>
            <w:fldChar w:fldCharType="begin"/>
          </w:r>
          <w:r>
            <w:instrText xml:space="preserve"> PAGEREF _Toc213018275 \h </w:instrText>
          </w:r>
          <w:r>
            <w:fldChar w:fldCharType="separate"/>
          </w:r>
          <w:r>
            <w:t>81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"_Toc213018276" </w:instrText>
          </w:r>
          <w:r>
            <w:fldChar w:fldCharType="separate"/>
          </w:r>
          <w:r>
            <w:rPr>
              <w:rStyle w:val="30"/>
            </w:rPr>
            <w:t>第四节</w:t>
          </w:r>
          <w:r>
            <w:rPr>
              <w:rFonts w:asciiTheme="minorHAnsi" w:hAnsiTheme="minorHAnsi" w:eastAsiaTheme="minorEastAsia" w:cstheme="minorBidi"/>
              <w:sz w:val="21"/>
              <w:szCs w:val="22"/>
            </w:rPr>
            <w:tab/>
          </w:r>
          <w:r>
            <w:rPr>
              <w:rStyle w:val="30"/>
            </w:rPr>
            <w:t>其他资源保护与开发</w:t>
          </w:r>
          <w:r>
            <w:tab/>
          </w:r>
          <w:r>
            <w:fldChar w:fldCharType="begin"/>
          </w:r>
          <w:r>
            <w:instrText xml:space="preserve"> PAGEREF _Toc213018276 \h </w:instrText>
          </w:r>
          <w:r>
            <w:fldChar w:fldCharType="separate"/>
          </w:r>
          <w:r>
            <w:t>83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"_Toc213018277" </w:instrText>
          </w:r>
          <w:r>
            <w:fldChar w:fldCharType="separate"/>
          </w:r>
          <w:r>
            <w:rPr>
              <w:rStyle w:val="30"/>
              <w:rFonts w:ascii="方正小标宋_GBK" w:hAnsi="方正小标宋_GBK" w:cs="方正小标宋_GBK"/>
              <w:b/>
            </w:rPr>
            <w:t>第九章 潇贺魅力空间</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_Toc213018277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86</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"_Toc213018278" </w:instrText>
          </w:r>
          <w:r>
            <w:fldChar w:fldCharType="separate"/>
          </w:r>
          <w:r>
            <w:rPr>
              <w:rStyle w:val="30"/>
            </w:rPr>
            <w:t>第一节</w:t>
          </w:r>
          <w:r>
            <w:rPr>
              <w:rFonts w:asciiTheme="minorHAnsi" w:hAnsiTheme="minorHAnsi" w:eastAsiaTheme="minorEastAsia" w:cstheme="minorBidi"/>
              <w:sz w:val="21"/>
              <w:szCs w:val="22"/>
            </w:rPr>
            <w:tab/>
          </w:r>
          <w:r>
            <w:rPr>
              <w:rStyle w:val="30"/>
            </w:rPr>
            <w:t>魅力空间体系</w:t>
          </w:r>
          <w:r>
            <w:tab/>
          </w:r>
          <w:r>
            <w:fldChar w:fldCharType="begin"/>
          </w:r>
          <w:r>
            <w:instrText xml:space="preserve"> PAGEREF _Toc213018278 \h </w:instrText>
          </w:r>
          <w:r>
            <w:fldChar w:fldCharType="separate"/>
          </w:r>
          <w:r>
            <w:t>86</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"_Toc213018279" </w:instrText>
          </w:r>
          <w:r>
            <w:fldChar w:fldCharType="separate"/>
          </w:r>
          <w:r>
            <w:rPr>
              <w:rStyle w:val="30"/>
            </w:rPr>
            <w:t>第二节</w:t>
          </w:r>
          <w:r>
            <w:rPr>
              <w:rFonts w:asciiTheme="minorHAnsi" w:hAnsiTheme="minorHAnsi" w:eastAsiaTheme="minorEastAsia" w:cstheme="minorBidi"/>
              <w:sz w:val="21"/>
              <w:szCs w:val="22"/>
            </w:rPr>
            <w:tab/>
          </w:r>
          <w:r>
            <w:rPr>
              <w:rStyle w:val="30"/>
            </w:rPr>
            <w:t>历史文化资源保护利用</w:t>
          </w:r>
          <w:r>
            <w:tab/>
          </w:r>
          <w:r>
            <w:fldChar w:fldCharType="begin"/>
          </w:r>
          <w:r>
            <w:instrText xml:space="preserve"> PAGEREF _Toc213018279 \h </w:instrText>
          </w:r>
          <w:r>
            <w:fldChar w:fldCharType="separate"/>
          </w:r>
          <w:r>
            <w:t>89</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"_Toc213018280" </w:instrText>
          </w:r>
          <w:r>
            <w:fldChar w:fldCharType="separate"/>
          </w:r>
          <w:r>
            <w:rPr>
              <w:rStyle w:val="30"/>
            </w:rPr>
            <w:t>第三节</w:t>
          </w:r>
          <w:r>
            <w:rPr>
              <w:rFonts w:asciiTheme="minorHAnsi" w:hAnsiTheme="minorHAnsi" w:eastAsiaTheme="minorEastAsia" w:cstheme="minorBidi"/>
              <w:sz w:val="21"/>
              <w:szCs w:val="22"/>
            </w:rPr>
            <w:tab/>
          </w:r>
          <w:r>
            <w:rPr>
              <w:rStyle w:val="30"/>
            </w:rPr>
            <w:t>城乡特色风貌</w:t>
          </w:r>
          <w:r>
            <w:tab/>
          </w:r>
          <w:r>
            <w:fldChar w:fldCharType="begin"/>
          </w:r>
          <w:r>
            <w:instrText xml:space="preserve"> PAGEREF _Toc213018280 \h </w:instrText>
          </w:r>
          <w:r>
            <w:fldChar w:fldCharType="separate"/>
          </w:r>
          <w:r>
            <w:t>94</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"_Toc213018281" </w:instrText>
          </w:r>
          <w:r>
            <w:fldChar w:fldCharType="separate"/>
          </w:r>
          <w:r>
            <w:rPr>
              <w:rStyle w:val="30"/>
              <w:rFonts w:ascii="方正小标宋_GBK" w:hAnsi="方正小标宋_GBK" w:cs="方正小标宋_GBK"/>
              <w:b/>
            </w:rPr>
            <w:t>第十章 公共服务和基础设施支撑体系</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_Toc213018281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98</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"_Toc213018282" </w:instrText>
          </w:r>
          <w:r>
            <w:fldChar w:fldCharType="separate"/>
          </w:r>
          <w:r>
            <w:rPr>
              <w:rStyle w:val="30"/>
            </w:rPr>
            <w:t>第一节</w:t>
          </w:r>
          <w:r>
            <w:rPr>
              <w:rFonts w:asciiTheme="minorHAnsi" w:hAnsiTheme="minorHAnsi" w:eastAsiaTheme="minorEastAsia" w:cstheme="minorBidi"/>
              <w:sz w:val="21"/>
              <w:szCs w:val="22"/>
            </w:rPr>
            <w:tab/>
          </w:r>
          <w:r>
            <w:rPr>
              <w:rStyle w:val="30"/>
            </w:rPr>
            <w:t>公共服务设施体系</w:t>
          </w:r>
          <w:r>
            <w:tab/>
          </w:r>
          <w:r>
            <w:fldChar w:fldCharType="begin"/>
          </w:r>
          <w:r>
            <w:instrText xml:space="preserve"> PAGEREF _Toc213018282 \h </w:instrText>
          </w:r>
          <w:r>
            <w:fldChar w:fldCharType="separate"/>
          </w:r>
          <w:r>
            <w:t>98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"_Toc213018283" </w:instrText>
          </w:r>
          <w:r>
            <w:fldChar w:fldCharType="separate"/>
          </w:r>
          <w:r>
            <w:rPr>
              <w:rStyle w:val="30"/>
            </w:rPr>
            <w:t>第二节</w:t>
          </w:r>
          <w:r>
            <w:rPr>
              <w:rFonts w:asciiTheme="minorHAnsi" w:hAnsiTheme="minorHAnsi" w:eastAsiaTheme="minorEastAsia" w:cstheme="minorBidi"/>
              <w:sz w:val="21"/>
              <w:szCs w:val="22"/>
            </w:rPr>
            <w:tab/>
          </w:r>
          <w:r>
            <w:rPr>
              <w:rStyle w:val="30"/>
            </w:rPr>
            <w:t>综合交通体系</w:t>
          </w:r>
          <w:r>
            <w:tab/>
          </w:r>
          <w:r>
            <w:fldChar w:fldCharType="begin"/>
          </w:r>
          <w:r>
            <w:instrText xml:space="preserve"> PAGEREF _Toc213018283 \h </w:instrText>
          </w:r>
          <w:r>
            <w:fldChar w:fldCharType="separate"/>
          </w:r>
          <w:r>
            <w:t>102</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"_Toc213018284" </w:instrText>
          </w:r>
          <w:r>
            <w:fldChar w:fldCharType="separate"/>
          </w:r>
          <w:r>
            <w:rPr>
              <w:rStyle w:val="30"/>
            </w:rPr>
            <w:t>第三节</w:t>
          </w:r>
          <w:r>
            <w:rPr>
              <w:rFonts w:asciiTheme="minorHAnsi" w:hAnsiTheme="minorHAnsi" w:eastAsiaTheme="minorEastAsia" w:cstheme="minorBidi"/>
              <w:sz w:val="21"/>
              <w:szCs w:val="22"/>
            </w:rPr>
            <w:tab/>
          </w:r>
          <w:r>
            <w:rPr>
              <w:rStyle w:val="30"/>
            </w:rPr>
            <w:t>市政基础设施</w:t>
          </w:r>
          <w:r>
            <w:tab/>
          </w:r>
          <w:r>
            <w:fldChar w:fldCharType="begin"/>
          </w:r>
          <w:r>
            <w:instrText xml:space="preserve"> PAGEREF _Toc213018284 \h </w:instrText>
          </w:r>
          <w:r>
            <w:fldChar w:fldCharType="separate"/>
          </w:r>
          <w:r>
            <w:t>107</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"_Toc213018285" </w:instrText>
          </w:r>
          <w:r>
            <w:fldChar w:fldCharType="separate"/>
          </w:r>
          <w:r>
            <w:rPr>
              <w:rStyle w:val="30"/>
            </w:rPr>
            <w:t>第四节</w:t>
          </w:r>
          <w:r>
            <w:rPr>
              <w:rFonts w:asciiTheme="minorHAnsi" w:hAnsiTheme="minorHAnsi" w:eastAsiaTheme="minorEastAsia" w:cstheme="minorBidi"/>
              <w:sz w:val="21"/>
              <w:szCs w:val="22"/>
            </w:rPr>
            <w:tab/>
          </w:r>
          <w:r>
            <w:rPr>
              <w:rStyle w:val="30"/>
            </w:rPr>
            <w:t>能源安全保障</w:t>
          </w:r>
          <w:r>
            <w:tab/>
          </w:r>
          <w:r>
            <w:fldChar w:fldCharType="begin"/>
          </w:r>
          <w:r>
            <w:instrText xml:space="preserve"> PAGEREF _Toc213018285 \h </w:instrText>
          </w:r>
          <w:r>
            <w:fldChar w:fldCharType="separate"/>
          </w:r>
          <w:r>
            <w:t>111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"_Toc213018286" </w:instrText>
          </w:r>
          <w:r>
            <w:fldChar w:fldCharType="separate"/>
          </w:r>
          <w:r>
            <w:rPr>
              <w:rStyle w:val="30"/>
            </w:rPr>
            <w:t>第五节</w:t>
          </w:r>
          <w:r>
            <w:rPr>
              <w:rFonts w:asciiTheme="minorHAnsi" w:hAnsiTheme="minorHAnsi" w:eastAsiaTheme="minorEastAsia" w:cstheme="minorBidi"/>
              <w:sz w:val="21"/>
              <w:szCs w:val="22"/>
            </w:rPr>
            <w:tab/>
          </w:r>
          <w:r>
            <w:rPr>
              <w:rStyle w:val="30"/>
            </w:rPr>
            <w:t>公共安全防灾体系</w:t>
          </w:r>
          <w:r>
            <w:tab/>
          </w:r>
          <w:r>
            <w:fldChar w:fldCharType="begin"/>
          </w:r>
          <w:r>
            <w:instrText xml:space="preserve"> PAGEREF _Toc213018286 \h </w:instrText>
          </w:r>
          <w:r>
            <w:fldChar w:fldCharType="separate"/>
          </w:r>
          <w:r>
            <w:t>113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"_Toc213018287" </w:instrText>
          </w:r>
          <w:r>
            <w:fldChar w:fldCharType="separate"/>
          </w:r>
          <w:r>
            <w:rPr>
              <w:rStyle w:val="30"/>
              <w:rFonts w:ascii="方正小标宋_GBK" w:hAnsi="方正小标宋_GBK" w:cs="方正小标宋_GBK"/>
              <w:b/>
            </w:rPr>
            <w:t>第十一章 国土综合整治与生态修复</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_Toc213018287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118</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"_Toc213018288" </w:instrText>
          </w:r>
          <w:r>
            <w:fldChar w:fldCharType="separate"/>
          </w:r>
          <w:r>
            <w:rPr>
              <w:rStyle w:val="30"/>
            </w:rPr>
            <w:t>第一节</w:t>
          </w:r>
          <w:r>
            <w:rPr>
              <w:rFonts w:asciiTheme="minorHAnsi" w:hAnsiTheme="minorHAnsi" w:eastAsiaTheme="minorEastAsia" w:cstheme="minorBidi"/>
              <w:sz w:val="21"/>
              <w:szCs w:val="22"/>
            </w:rPr>
            <w:tab/>
          </w:r>
          <w:r>
            <w:rPr>
              <w:rStyle w:val="30"/>
            </w:rPr>
            <w:t>综合整治和生态修复分区</w:t>
          </w:r>
          <w:r>
            <w:tab/>
          </w:r>
          <w:r>
            <w:fldChar w:fldCharType="begin"/>
          </w:r>
          <w:r>
            <w:instrText xml:space="preserve"> PAGEREF _Toc213018288 \h </w:instrText>
          </w:r>
          <w:r>
            <w:fldChar w:fldCharType="separate"/>
          </w:r>
          <w:r>
            <w:t>118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"_Toc213018289" </w:instrText>
          </w:r>
          <w:r>
            <w:fldChar w:fldCharType="separate"/>
          </w:r>
          <w:r>
            <w:rPr>
              <w:rStyle w:val="30"/>
            </w:rPr>
            <w:t>第二节</w:t>
          </w:r>
          <w:r>
            <w:rPr>
              <w:rFonts w:asciiTheme="minorHAnsi" w:hAnsiTheme="minorHAnsi" w:eastAsiaTheme="minorEastAsia" w:cstheme="minorBidi"/>
              <w:sz w:val="21"/>
              <w:szCs w:val="22"/>
            </w:rPr>
            <w:tab/>
          </w:r>
          <w:r>
            <w:rPr>
              <w:rStyle w:val="30"/>
            </w:rPr>
            <w:t>国土综合整治</w:t>
          </w:r>
          <w:r>
            <w:tab/>
          </w:r>
          <w:r>
            <w:fldChar w:fldCharType="begin"/>
          </w:r>
          <w:r>
            <w:instrText xml:space="preserve"> PAGEREF _Toc213018289 \h </w:instrText>
          </w:r>
          <w:r>
            <w:fldChar w:fldCharType="separate"/>
          </w:r>
          <w:r>
            <w:t>121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"_Toc213018290" </w:instrText>
          </w:r>
          <w:r>
            <w:fldChar w:fldCharType="separate"/>
          </w:r>
          <w:r>
            <w:rPr>
              <w:rStyle w:val="30"/>
            </w:rPr>
            <w:t>第三节</w:t>
          </w:r>
          <w:r>
            <w:rPr>
              <w:rFonts w:asciiTheme="minorHAnsi" w:hAnsiTheme="minorHAnsi" w:eastAsiaTheme="minorEastAsia" w:cstheme="minorBidi"/>
              <w:sz w:val="21"/>
              <w:szCs w:val="22"/>
            </w:rPr>
            <w:tab/>
          </w:r>
          <w:r>
            <w:rPr>
              <w:rStyle w:val="30"/>
            </w:rPr>
            <w:t>山水林田湖草沙生态修复</w:t>
          </w:r>
          <w:r>
            <w:tab/>
          </w:r>
          <w:r>
            <w:fldChar w:fldCharType="begin"/>
          </w:r>
          <w:r>
            <w:instrText xml:space="preserve"> PAGEREF _Toc213018290 \h </w:instrText>
          </w:r>
          <w:r>
            <w:fldChar w:fldCharType="separate"/>
          </w:r>
          <w:r>
            <w:t>125</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"_Toc213018291" </w:instrText>
          </w:r>
          <w:r>
            <w:fldChar w:fldCharType="separate"/>
          </w:r>
          <w:r>
            <w:rPr>
              <w:rStyle w:val="30"/>
              <w:rFonts w:ascii="方正小标宋_GBK" w:hAnsi="方正小标宋_GBK" w:cs="方正小标宋_GBK"/>
              <w:b/>
            </w:rPr>
            <w:t>第十二章 区域协同</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_Toc213018291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130</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"_Toc213018292" </w:instrText>
          </w:r>
          <w:r>
            <w:fldChar w:fldCharType="separate"/>
          </w:r>
          <w:r>
            <w:rPr>
              <w:rStyle w:val="30"/>
            </w:rPr>
            <w:t>第一节</w:t>
          </w:r>
          <w:r>
            <w:rPr>
              <w:rFonts w:asciiTheme="minorHAnsi" w:hAnsiTheme="minorHAnsi" w:eastAsiaTheme="minorEastAsia" w:cstheme="minorBidi"/>
              <w:sz w:val="21"/>
              <w:szCs w:val="22"/>
            </w:rPr>
            <w:tab/>
          </w:r>
          <w:r>
            <w:rPr>
              <w:rStyle w:val="30"/>
            </w:rPr>
            <w:t>东融空间协同</w:t>
          </w:r>
          <w:r>
            <w:tab/>
          </w:r>
          <w:r>
            <w:fldChar w:fldCharType="begin"/>
          </w:r>
          <w:r>
            <w:instrText xml:space="preserve"> PAGEREF _Toc213018292 \h </w:instrText>
          </w:r>
          <w:r>
            <w:fldChar w:fldCharType="separate"/>
          </w:r>
          <w:r>
            <w:t>130</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"_Toc213018293" </w:instrText>
          </w:r>
          <w:r>
            <w:fldChar w:fldCharType="separate"/>
          </w:r>
          <w:r>
            <w:rPr>
              <w:rStyle w:val="30"/>
            </w:rPr>
            <w:t>第二节</w:t>
          </w:r>
          <w:r>
            <w:rPr>
              <w:rFonts w:asciiTheme="minorHAnsi" w:hAnsiTheme="minorHAnsi" w:eastAsiaTheme="minorEastAsia" w:cstheme="minorBidi"/>
              <w:sz w:val="21"/>
              <w:szCs w:val="22"/>
            </w:rPr>
            <w:tab/>
          </w:r>
          <w:r>
            <w:rPr>
              <w:rStyle w:val="30"/>
            </w:rPr>
            <w:t>产业协作互补</w:t>
          </w:r>
          <w:r>
            <w:tab/>
          </w:r>
          <w:r>
            <w:fldChar w:fldCharType="begin"/>
          </w:r>
          <w:r>
            <w:instrText xml:space="preserve"> PAGEREF _Toc213018293 \h </w:instrText>
          </w:r>
          <w:r>
            <w:fldChar w:fldCharType="separate"/>
          </w:r>
          <w:r>
            <w:t>131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"_Toc213018294" </w:instrText>
          </w:r>
          <w:r>
            <w:fldChar w:fldCharType="separate"/>
          </w:r>
          <w:r>
            <w:rPr>
              <w:rStyle w:val="30"/>
            </w:rPr>
            <w:t>第三节</w:t>
          </w:r>
          <w:r>
            <w:rPr>
              <w:rFonts w:asciiTheme="minorHAnsi" w:hAnsiTheme="minorHAnsi" w:eastAsiaTheme="minorEastAsia" w:cstheme="minorBidi"/>
              <w:sz w:val="21"/>
              <w:szCs w:val="22"/>
            </w:rPr>
            <w:tab/>
          </w:r>
          <w:r>
            <w:rPr>
              <w:rStyle w:val="30"/>
            </w:rPr>
            <w:t>交通设施互联互通</w:t>
          </w:r>
          <w:r>
            <w:tab/>
          </w:r>
          <w:r>
            <w:fldChar w:fldCharType="begin"/>
          </w:r>
          <w:r>
            <w:instrText xml:space="preserve"> PAGEREF _Toc213018294 \h </w:instrText>
          </w:r>
          <w:r>
            <w:fldChar w:fldCharType="separate"/>
          </w:r>
          <w:r>
            <w:t>132</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"_Toc213018295" </w:instrText>
          </w:r>
          <w:r>
            <w:fldChar w:fldCharType="separate"/>
          </w:r>
          <w:r>
            <w:rPr>
              <w:rStyle w:val="30"/>
              <w:lang w:val="zh-CN"/>
            </w:rPr>
            <w:t>第四节</w:t>
          </w:r>
          <w:r>
            <w:rPr>
              <w:rFonts w:asciiTheme="minorHAnsi" w:hAnsiTheme="minorHAnsi" w:eastAsiaTheme="minorEastAsia" w:cstheme="minorBidi"/>
              <w:sz w:val="21"/>
              <w:szCs w:val="22"/>
            </w:rPr>
            <w:tab/>
          </w:r>
          <w:r>
            <w:rPr>
              <w:rStyle w:val="30"/>
            </w:rPr>
            <w:t>生态共管共治</w:t>
          </w:r>
          <w:r>
            <w:tab/>
          </w:r>
          <w:r>
            <w:fldChar w:fldCharType="begin"/>
          </w:r>
          <w:r>
            <w:instrText xml:space="preserve"> PAGEREF _Toc213018295 \h </w:instrText>
          </w:r>
          <w:r>
            <w:fldChar w:fldCharType="separate"/>
          </w:r>
          <w:r>
            <w:t>132</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"_Toc213018296" </w:instrText>
          </w:r>
          <w:r>
            <w:fldChar w:fldCharType="separate"/>
          </w:r>
          <w:r>
            <w:rPr>
              <w:rStyle w:val="30"/>
              <w:rFonts w:ascii="方正小标宋_GBK" w:hAnsi="方正小标宋_GBK" w:cs="方正小标宋_GBK"/>
              <w:b/>
            </w:rPr>
            <w:t>第十三章 实施保障</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_Toc213018296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133</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"_Toc213018297" </w:instrText>
          </w:r>
          <w:r>
            <w:fldChar w:fldCharType="separate"/>
          </w:r>
          <w:r>
            <w:rPr>
              <w:rStyle w:val="30"/>
            </w:rPr>
            <w:t>第一节</w:t>
          </w:r>
          <w:r>
            <w:rPr>
              <w:rFonts w:asciiTheme="minorHAnsi" w:hAnsiTheme="minorHAnsi" w:eastAsiaTheme="minorEastAsia" w:cstheme="minorBidi"/>
              <w:sz w:val="21"/>
              <w:szCs w:val="22"/>
            </w:rPr>
            <w:tab/>
          </w:r>
          <w:r>
            <w:rPr>
              <w:rStyle w:val="30"/>
            </w:rPr>
            <w:t>加强党的领导</w:t>
          </w:r>
          <w:r>
            <w:tab/>
          </w:r>
          <w:r>
            <w:fldChar w:fldCharType="begin"/>
          </w:r>
          <w:r>
            <w:instrText xml:space="preserve"> PAGEREF _Toc213018297 \h </w:instrText>
          </w:r>
          <w:r>
            <w:fldChar w:fldCharType="separate"/>
          </w:r>
          <w:r>
            <w:t>133</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"_Toc213018298" </w:instrText>
          </w:r>
          <w:r>
            <w:fldChar w:fldCharType="separate"/>
          </w:r>
          <w:r>
            <w:rPr>
              <w:rStyle w:val="30"/>
            </w:rPr>
            <w:t>第二节</w:t>
          </w:r>
          <w:r>
            <w:rPr>
              <w:rFonts w:asciiTheme="minorHAnsi" w:hAnsiTheme="minorHAnsi" w:eastAsiaTheme="minorEastAsia" w:cstheme="minorBidi"/>
              <w:sz w:val="21"/>
              <w:szCs w:val="22"/>
            </w:rPr>
            <w:tab/>
          </w:r>
          <w:r>
            <w:rPr>
              <w:rStyle w:val="30"/>
            </w:rPr>
            <w:t>加强规划传导</w:t>
          </w:r>
          <w:r>
            <w:tab/>
          </w:r>
          <w:r>
            <w:fldChar w:fldCharType="begin"/>
          </w:r>
          <w:r>
            <w:instrText xml:space="preserve"> PAGEREF _Toc213018298 \h </w:instrText>
          </w:r>
          <w:r>
            <w:fldChar w:fldCharType="separate"/>
          </w:r>
          <w:r>
            <w:t>133</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"_Toc213018299" </w:instrText>
          </w:r>
          <w:r>
            <w:fldChar w:fldCharType="separate"/>
          </w:r>
          <w:r>
            <w:rPr>
              <w:rStyle w:val="30"/>
            </w:rPr>
            <w:t>第三节</w:t>
          </w:r>
          <w:r>
            <w:rPr>
              <w:rFonts w:asciiTheme="minorHAnsi" w:hAnsiTheme="minorHAnsi" w:eastAsiaTheme="minorEastAsia" w:cstheme="minorBidi"/>
              <w:sz w:val="21"/>
              <w:szCs w:val="22"/>
            </w:rPr>
            <w:tab/>
          </w:r>
          <w:r>
            <w:rPr>
              <w:rStyle w:val="30"/>
            </w:rPr>
            <w:t>制定近期行动计划</w:t>
          </w:r>
          <w:r>
            <w:tab/>
          </w:r>
          <w:r>
            <w:fldChar w:fldCharType="begin"/>
          </w:r>
          <w:r>
            <w:instrText xml:space="preserve"> PAGEREF _Toc213018299 \h </w:instrText>
          </w:r>
          <w:r>
            <w:fldChar w:fldCharType="separate"/>
          </w:r>
          <w:r>
            <w:t>138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"_Toc213018300" </w:instrText>
          </w:r>
          <w:r>
            <w:fldChar w:fldCharType="separate"/>
          </w:r>
          <w:r>
            <w:rPr>
              <w:rStyle w:val="30"/>
            </w:rPr>
            <w:t>第四节</w:t>
          </w:r>
          <w:r>
            <w:rPr>
              <w:rFonts w:asciiTheme="minorHAnsi" w:hAnsiTheme="minorHAnsi" w:eastAsiaTheme="minorEastAsia" w:cstheme="minorBidi"/>
              <w:sz w:val="21"/>
              <w:szCs w:val="22"/>
            </w:rPr>
            <w:tab/>
          </w:r>
          <w:r>
            <w:rPr>
              <w:rStyle w:val="30"/>
            </w:rPr>
            <w:t>完善支撑体系</w:t>
          </w:r>
          <w:r>
            <w:tab/>
          </w:r>
          <w:r>
            <w:fldChar w:fldCharType="begin"/>
          </w:r>
          <w:r>
            <w:instrText xml:space="preserve"> PAGEREF _Toc213018300 \h </w:instrText>
          </w:r>
          <w:r>
            <w:fldChar w:fldCharType="separate"/>
          </w:r>
          <w:r>
            <w:t>143</w:t>
          </w:r>
          <w:r>
            <w:fldChar w:fldCharType="end"/>
          </w:r>
          <w:r>
            <w:fldChar w:fldCharType="end"/>
          </w:r>
        </w:p>
        <w:p>
          <w:pPr>
            <w:pStyle w:val="2"/>
            <w:spacing w:line="480" w:lineRule="exact"/>
            <w:ind w:firstLine="420" w:firstLineChars="0"/>
            <w:jc w:val="center"/>
          </w:pPr>
          <w:r>
            <w:rPr>
              <w:rFonts w:ascii="微软雅黑" w:hAnsi="微软雅黑" w:eastAsia="微软雅黑"/>
              <w:sz w:val="28"/>
              <w:szCs w:val="28"/>
            </w:rPr>
            <w:fldChar w:fldCharType="end"/>
          </w:r>
        </w:p>
      </w:sdtContent>
    </w:sdt>
    <w:p>
      <w:pPr>
        <w:ind w:firstLine="640"/>
      </w:pPr>
    </w:p>
    <w:p>
      <w:pPr>
        <w:ind w:firstLine="640"/>
      </w:pPr>
    </w:p>
    <w:p>
      <w:pPr>
        <w:ind w:firstLine="640"/>
      </w:pPr>
    </w:p>
    <w:p>
      <w:pPr>
        <w:ind w:firstLine="640"/>
      </w:pPr>
    </w:p>
    <w:p>
      <w:pPr>
        <w:ind w:firstLine="640"/>
      </w:pPr>
    </w:p>
    <w:p>
      <w:pPr>
        <w:tabs>
          <w:tab w:val="left" w:pos="2910"/>
        </w:tabs>
        <w:ind w:firstLine="640"/>
      </w:pPr>
      <w:r>
        <w:tab/>
      </w:r>
    </w:p>
    <w:p>
      <w:pPr>
        <w:tabs>
          <w:tab w:val="left" w:pos="2910"/>
        </w:tabs>
        <w:ind w:firstLine="640"/>
        <w:sectPr>
          <w:footerReference r:id="rId9" w:type="default"/>
          <w:pgSz w:w="11906" w:h="16838"/>
          <w:pgMar w:top="1440" w:right="1800" w:bottom="1440" w:left="1800" w:header="851" w:footer="992" w:gutter="0"/>
          <w:pgNumType w:fmt="upperRoman" w:start="1"/>
          <w:cols w:space="720" w:num="1"/>
          <w:docGrid w:type="lines" w:linePitch="312" w:charSpace="0"/>
        </w:sectPr>
      </w:pPr>
      <w:r>
        <w:tab/>
      </w:r>
    </w:p>
    <w:p>
      <w:pPr>
        <w:pStyle w:val="3"/>
        <w:keepNext w:val="0"/>
        <w:widowControl/>
        <w:autoSpaceDE w:val="0"/>
        <w:autoSpaceDN w:val="0"/>
        <w:rPr>
          <w:rFonts w:ascii="方正小标宋_GBK" w:hAnsi="方正小标宋_GBK" w:cs="方正小标宋_GBK"/>
          <w:szCs w:val="36"/>
        </w:rPr>
      </w:pPr>
      <w:bookmarkStart w:id="4" w:name="_Toc213018235"/>
      <w:bookmarkStart w:id="5" w:name="_Toc8949"/>
      <w:bookmarkStart w:id="6" w:name="_Toc11577"/>
      <w:bookmarkStart w:id="7" w:name="_Toc19477_WPSOffice_Level1"/>
      <w:bookmarkStart w:id="8" w:name="_Toc6854"/>
      <w:bookmarkStart w:id="9" w:name="_Toc28569"/>
      <w:bookmarkStart w:id="10" w:name="_Toc30240"/>
      <w:bookmarkStart w:id="11" w:name="_Toc18333"/>
      <w:bookmarkStart w:id="12" w:name="_Toc24672"/>
      <w:bookmarkStart w:id="13" w:name="_Toc2332"/>
      <w:r>
        <w:rPr>
          <w:rFonts w:hint="eastAsia" w:ascii="方正小标宋_GBK" w:hAnsi="方正小标宋_GBK" w:cs="方正小标宋_GBK"/>
          <w:szCs w:val="36"/>
        </w:rPr>
        <w:t>前</w:t>
      </w:r>
      <w:r>
        <w:rPr>
          <w:rFonts w:ascii="方正小标宋_GBK" w:hAnsi="方正小标宋_GBK" w:cs="方正小标宋_GBK"/>
          <w:szCs w:val="36"/>
        </w:rPr>
        <w:t xml:space="preserve">  </w:t>
      </w:r>
      <w:r>
        <w:rPr>
          <w:rFonts w:hint="eastAsia" w:ascii="方正小标宋_GBK" w:hAnsi="方正小标宋_GBK" w:cs="方正小标宋_GBK"/>
          <w:szCs w:val="36"/>
        </w:rPr>
        <w:t>言</w:t>
      </w:r>
      <w:bookmarkEnd w:id="4"/>
    </w:p>
    <w:p>
      <w:pPr>
        <w:widowControl/>
        <w:ind w:firstLine="640"/>
        <w:rPr>
          <w:rFonts w:ascii="仿宋_GB2312" w:hAnsi="仿宋_GB2312" w:cs="仿宋_GB2312"/>
          <w:szCs w:val="32"/>
        </w:rPr>
      </w:pPr>
      <w:r>
        <w:rPr>
          <w:rFonts w:hint="eastAsia" w:ascii="仿宋_GB2312" w:hAnsi="仿宋_GB2312" w:cs="仿宋_GB2312"/>
          <w:szCs w:val="32"/>
        </w:rPr>
        <w:t>贺州，旧谓临贺，2018年6月获自治区赋予建设广西东融先行示范区新定位新使命，已</w:t>
      </w:r>
      <w:r>
        <w:rPr>
          <w:rFonts w:hint="eastAsia" w:ascii="仿宋_GB2312" w:hAnsi="仿宋_GB2312" w:cs="仿宋_GB2312"/>
          <w:kern w:val="0"/>
          <w:szCs w:val="32"/>
          <w:lang w:bidi="ar"/>
        </w:rPr>
        <w:t>获评世界长寿市和中国首个全域长寿市</w:t>
      </w:r>
      <w:r>
        <w:rPr>
          <w:rFonts w:hint="eastAsia" w:ascii="仿宋_GB2312" w:hAnsi="仿宋_GB2312" w:cs="仿宋_GB2312"/>
          <w:szCs w:val="32"/>
        </w:rPr>
        <w:t>、全国“多规合一”试点市、国家生态保护与建设示范区、国家级医养结合试点市、国家全域旅游示范区、全国森林旅游示范市、中国温泉之城、中国跨境电子商务综合实验区、国家全域森林康养试点市等称号。</w:t>
      </w:r>
    </w:p>
    <w:p>
      <w:pPr>
        <w:ind w:firstLine="640"/>
        <w:rPr>
          <w:rFonts w:ascii="仿宋_GB2312" w:hAnsi="仿宋_GB2312" w:cs="仿宋_GB2312"/>
          <w:szCs w:val="32"/>
        </w:rPr>
      </w:pPr>
      <w:r>
        <w:rPr>
          <w:rFonts w:hint="eastAsia" w:ascii="仿宋_GB2312" w:hAnsi="仿宋_GB2312" w:cs="仿宋_GB2312"/>
          <w:szCs w:val="32"/>
        </w:rPr>
        <w:t>国土空间总体规划是实现高质量发展、高品质生活、高水平治理的空间保障，为编制下位国土空间总体规划、详细规划、相关专项规划和开展各类开发保护建设活动、实施国土空间用途管制提供基本依据。《贺州市国土空间总体规划（2021—2035年）》（以下简称《规划》）旨在落实国家和自治区战略要求，以习近平新时代中国特色社会主义思想为指导，全面贯彻落实党的二十大精神，围绕贺州市建设“广西东融先行示范区”的发展定位，明确全市国土空间保护、开发、利用、修复的总体安排和综合部署。</w:t>
      </w:r>
    </w:p>
    <w:p>
      <w:pPr>
        <w:ind w:firstLine="640"/>
        <w:rPr>
          <w:rFonts w:ascii="仿宋_GB2312" w:hAnsi="仿宋_GB2312" w:cs="仿宋_GB2312"/>
          <w:szCs w:val="32"/>
        </w:rPr>
      </w:pPr>
      <w:r>
        <w:rPr>
          <w:rFonts w:hint="eastAsia" w:ascii="仿宋_GB2312" w:hAnsi="仿宋_GB2312" w:cs="仿宋_GB2312"/>
          <w:szCs w:val="32"/>
        </w:rPr>
        <w:t>《规划》包括市域和中心城区两个层次。市域为贺州市行政辖区内的陆域空间，包括八步区、平桂区、昭平县、钟山县和富川瑶族自治县，中心城区国土面积630.67平方千米，范围涉及八步街道、城东街道、江南街道、西湾街道、贺街镇、莲塘镇、黄田镇、鹅塘镇、沙田镇、望高镇、羊头镇11个乡镇（街道）共73个行政村及社区。</w:t>
      </w:r>
    </w:p>
    <w:p>
      <w:pPr>
        <w:ind w:firstLine="640"/>
        <w:rPr>
          <w:rFonts w:ascii="仿宋_GB2312" w:hAnsi="仿宋_GB2312" w:cs="仿宋_GB2312"/>
          <w:szCs w:val="32"/>
        </w:rPr>
      </w:pPr>
      <w:r>
        <w:rPr>
          <w:rFonts w:hint="eastAsia" w:ascii="仿宋_GB2312" w:hAnsi="仿宋_GB2312" w:cs="仿宋_GB2312"/>
          <w:szCs w:val="32"/>
        </w:rPr>
        <w:t>规划期限为2021年到2035年，基期年为2020年，规划目标年为2035年，近期到2025年，远景展望到2050年。</w:t>
      </w:r>
    </w:p>
    <w:p>
      <w:pPr>
        <w:ind w:firstLine="640"/>
        <w:rPr>
          <w:rFonts w:ascii="仿宋_GB2312" w:hAnsi="仿宋_GB2312" w:cs="仿宋_GB2312"/>
          <w:szCs w:val="32"/>
        </w:rPr>
      </w:pPr>
      <w:r>
        <w:rPr>
          <w:rFonts w:hint="eastAsia" w:ascii="仿宋_GB2312" w:hAnsi="仿宋_GB2312" w:cs="仿宋_GB2312"/>
          <w:szCs w:val="32"/>
          <w:lang w:bidi="ar"/>
        </w:rPr>
        <w:t>文本中划有</w:t>
      </w:r>
      <w:r>
        <w:rPr>
          <w:rFonts w:hint="eastAsia" w:ascii="仿宋_GB2312" w:hAnsi="仿宋_GB2312" w:cs="仿宋_GB2312"/>
          <w:szCs w:val="32"/>
          <w:u w:val="single"/>
          <w:lang w:bidi="ar"/>
        </w:rPr>
        <w:t>下划线</w:t>
      </w:r>
      <w:r>
        <w:rPr>
          <w:rFonts w:hint="eastAsia" w:ascii="仿宋_GB2312" w:hAnsi="仿宋_GB2312" w:cs="仿宋_GB2312"/>
          <w:szCs w:val="32"/>
          <w:lang w:bidi="ar"/>
        </w:rPr>
        <w:t>部分为强制性内容，涉及修改强制性内容的，按照有关规定执行。</w:t>
      </w:r>
    </w:p>
    <w:p>
      <w:pPr>
        <w:pStyle w:val="42"/>
      </w:pPr>
    </w:p>
    <w:p>
      <w:pPr>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3"/>
        <w:keepNext w:val="0"/>
        <w:widowControl/>
        <w:numPr>
          <w:ilvl w:val="0"/>
          <w:numId w:val="3"/>
        </w:numPr>
        <w:autoSpaceDE w:val="0"/>
        <w:autoSpaceDN w:val="0"/>
        <w:rPr>
          <w:rFonts w:ascii="方正小标宋_GBK" w:hAnsi="方正小标宋_GBK" w:cs="方正小标宋_GBK"/>
          <w:szCs w:val="36"/>
        </w:rPr>
      </w:pPr>
      <w:bookmarkStart w:id="14" w:name="_Toc213018236"/>
      <w:r>
        <w:rPr>
          <w:rFonts w:hint="eastAsia" w:ascii="方正小标宋_GBK" w:hAnsi="方正小标宋_GBK" w:cs="方正小标宋_GBK"/>
          <w:szCs w:val="36"/>
        </w:rPr>
        <w:t>现状与形势</w:t>
      </w:r>
      <w:bookmarkEnd w:id="5"/>
      <w:bookmarkEnd w:id="6"/>
      <w:bookmarkEnd w:id="7"/>
      <w:bookmarkEnd w:id="8"/>
      <w:bookmarkEnd w:id="9"/>
      <w:bookmarkEnd w:id="10"/>
      <w:bookmarkEnd w:id="11"/>
      <w:bookmarkEnd w:id="12"/>
      <w:bookmarkEnd w:id="13"/>
      <w:bookmarkEnd w:id="14"/>
    </w:p>
    <w:p>
      <w:pPr>
        <w:pStyle w:val="4"/>
        <w:numPr>
          <w:ilvl w:val="0"/>
          <w:numId w:val="4"/>
        </w:numPr>
        <w:spacing w:line="460" w:lineRule="exact"/>
        <w:ind w:left="0" w:firstLine="0"/>
      </w:pPr>
      <w:bookmarkStart w:id="15" w:name="_Toc27204"/>
      <w:bookmarkStart w:id="16" w:name="_Toc238"/>
      <w:bookmarkStart w:id="17" w:name="_Toc27395"/>
      <w:bookmarkStart w:id="18" w:name="_Toc24374"/>
      <w:bookmarkStart w:id="19" w:name="_Toc28878"/>
      <w:bookmarkStart w:id="20" w:name="_Toc10973"/>
      <w:bookmarkStart w:id="21" w:name="_Toc12965"/>
      <w:bookmarkStart w:id="22" w:name="_Toc29767"/>
      <w:bookmarkStart w:id="23" w:name="_Toc213018237"/>
      <w:bookmarkStart w:id="24" w:name="_Toc31004_WPSOffice_Level2"/>
      <w:bookmarkStart w:id="25" w:name="_Toc12596"/>
      <w:r>
        <w:rPr>
          <w:rFonts w:hint="eastAsia"/>
        </w:rPr>
        <w:t>现状基础</w:t>
      </w:r>
      <w:bookmarkEnd w:id="15"/>
      <w:bookmarkEnd w:id="16"/>
      <w:bookmarkEnd w:id="17"/>
      <w:bookmarkEnd w:id="18"/>
      <w:bookmarkEnd w:id="19"/>
      <w:bookmarkEnd w:id="20"/>
      <w:bookmarkEnd w:id="21"/>
      <w:bookmarkEnd w:id="22"/>
      <w:bookmarkEnd w:id="23"/>
      <w:bookmarkEnd w:id="24"/>
      <w:bookmarkEnd w:id="25"/>
    </w:p>
    <w:p>
      <w:pPr>
        <w:pStyle w:val="5"/>
        <w:numPr>
          <w:ilvl w:val="0"/>
          <w:numId w:val="5"/>
        </w:numPr>
        <w:spacing w:before="156" w:after="0" w:afterLines="0"/>
        <w:ind w:left="0" w:firstLine="640"/>
        <w:rPr>
          <w:lang w:val="zh-CN"/>
        </w:rPr>
      </w:pPr>
      <w:r>
        <w:rPr>
          <w:rFonts w:hint="eastAsia"/>
          <w:lang w:val="zh-CN"/>
        </w:rPr>
        <w:t>自然地理格局</w:t>
      </w:r>
    </w:p>
    <w:p>
      <w:pPr>
        <w:pStyle w:val="21"/>
        <w:autoSpaceDE w:val="0"/>
        <w:autoSpaceDN w:val="0"/>
        <w:spacing w:before="0" w:beforeAutospacing="0" w:after="0" w:afterAutospacing="0"/>
        <w:ind w:firstLine="643"/>
        <w:jc w:val="both"/>
        <w:rPr>
          <w:rFonts w:ascii="仿宋_GB2312" w:hAnsi="仿宋_GB2312" w:cs="仿宋_GB2312"/>
          <w:sz w:val="32"/>
          <w:szCs w:val="32"/>
          <w:lang w:bidi="ar"/>
        </w:rPr>
      </w:pPr>
      <w:r>
        <w:rPr>
          <w:rFonts w:hint="eastAsia" w:ascii="仿宋_GB2312" w:hAnsi="仿宋_GB2312" w:cs="仿宋_GB2312"/>
          <w:b/>
          <w:bCs/>
          <w:sz w:val="32"/>
          <w:szCs w:val="32"/>
          <w:lang w:bidi="ar"/>
        </w:rPr>
        <w:t>三省通衢要道，区位优势独特。</w:t>
      </w:r>
      <w:r>
        <w:rPr>
          <w:rFonts w:hint="eastAsia" w:ascii="仿宋_GB2312" w:hAnsi="仿宋_GB2312" w:cs="仿宋_GB2312"/>
          <w:sz w:val="32"/>
          <w:szCs w:val="32"/>
          <w:lang w:bidi="ar"/>
        </w:rPr>
        <w:t>贺州市位于广西东北部，处于湘、粤、桂三省（区）的交界，凭借面向东部、连接中南西南的区位优势，成为广西对接粤港澳大湾区发展的前沿地带和承接产业外溢的战略腹地，是广西全力东融发展的重要战略支点。</w:t>
      </w:r>
    </w:p>
    <w:p>
      <w:pPr>
        <w:pStyle w:val="21"/>
        <w:autoSpaceDE w:val="0"/>
        <w:autoSpaceDN w:val="0"/>
        <w:spacing w:before="0" w:beforeAutospacing="0" w:after="0" w:afterAutospacing="0"/>
        <w:ind w:firstLine="643"/>
        <w:jc w:val="both"/>
        <w:rPr>
          <w:rFonts w:ascii="仿宋_GB2312" w:hAnsi="仿宋_GB2312" w:cs="仿宋_GB2312"/>
          <w:sz w:val="32"/>
          <w:szCs w:val="32"/>
          <w:lang w:bidi="ar"/>
        </w:rPr>
      </w:pPr>
      <w:r>
        <w:rPr>
          <w:rFonts w:hint="eastAsia" w:ascii="仿宋_GB2312" w:hAnsi="仿宋_GB2312" w:cs="仿宋_GB2312"/>
          <w:b/>
          <w:bCs/>
          <w:sz w:val="32"/>
          <w:szCs w:val="32"/>
          <w:lang w:bidi="ar"/>
        </w:rPr>
        <w:t>山地丘陵为主，河流水系丰沛。</w:t>
      </w:r>
      <w:r>
        <w:rPr>
          <w:rFonts w:hint="eastAsia" w:ascii="仿宋_GB2312" w:hAnsi="仿宋_GB2312" w:cs="仿宋_GB2312"/>
          <w:sz w:val="32"/>
          <w:szCs w:val="32"/>
          <w:lang w:bidi="ar"/>
        </w:rPr>
        <w:t>贺州市地处南岭山地丘陵区，地势四周高、中部低，是桂东北典型喀斯特山地丘陵城市，呈现“八山一田半水城”的自然地理格局。境内河流水系发达，主要河流贺江、桂江属珠江水系，全市河网密度达到0.29千米/平方千米，高于全区、全国平均水平，龟石水库是广西六大水库之一。</w:t>
      </w:r>
    </w:p>
    <w:p>
      <w:pPr>
        <w:pStyle w:val="21"/>
        <w:autoSpaceDE w:val="0"/>
        <w:autoSpaceDN w:val="0"/>
        <w:spacing w:before="0" w:beforeAutospacing="0" w:after="0" w:afterAutospacing="0"/>
        <w:ind w:firstLine="643"/>
        <w:jc w:val="both"/>
        <w:rPr>
          <w:rFonts w:ascii="仿宋_GB2312" w:hAnsi="仿宋_GB2312" w:cs="仿宋_GB2312"/>
          <w:sz w:val="32"/>
          <w:szCs w:val="32"/>
          <w:lang w:bidi="ar"/>
        </w:rPr>
      </w:pPr>
      <w:r>
        <w:rPr>
          <w:rFonts w:hint="eastAsia" w:ascii="仿宋_GB2312" w:hAnsi="仿宋_GB2312" w:cs="仿宋_GB2312"/>
          <w:b/>
          <w:bCs/>
          <w:sz w:val="32"/>
          <w:szCs w:val="32"/>
          <w:lang w:bidi="ar"/>
        </w:rPr>
        <w:t>生态环境优良，矿产资源富集。</w:t>
      </w:r>
      <w:r>
        <w:rPr>
          <w:rFonts w:hint="eastAsia" w:ascii="仿宋_GB2312" w:hAnsi="仿宋_GB2312" w:cs="仿宋_GB2312"/>
          <w:sz w:val="32"/>
          <w:szCs w:val="32"/>
          <w:lang w:bidi="ar"/>
        </w:rPr>
        <w:t>位于境内北部的南岭山脉支脉，是桂粤湘三省边界的重要生态屏障。2020年全市森林覆盖率72.</w:t>
      </w:r>
      <w:r>
        <w:rPr>
          <w:rFonts w:ascii="仿宋_GB2312" w:hAnsi="仿宋_GB2312" w:cs="仿宋_GB2312"/>
          <w:sz w:val="32"/>
          <w:szCs w:val="32"/>
          <w:lang w:bidi="ar"/>
        </w:rPr>
        <w:t>9</w:t>
      </w:r>
      <w:r>
        <w:rPr>
          <w:rFonts w:hint="eastAsia" w:ascii="仿宋_GB2312" w:hAnsi="仿宋_GB2312" w:cs="仿宋_GB2312"/>
          <w:sz w:val="32"/>
          <w:szCs w:val="32"/>
          <w:lang w:bidi="ar"/>
        </w:rPr>
        <w:t>5%，位列全区第二，是国家森林城市、全国森林旅游示范区和广西唯一的全国生态保护与建设示范区。矿产资源种类繁多，尤其是碳酸钙资源非常富集，白色大理石矿探明储量占全国的1/8，稀土矿、饰面花岗岩、饰面大理石、硅灰石等保有资源量居广西首位。</w:t>
      </w:r>
    </w:p>
    <w:p>
      <w:pPr>
        <w:pStyle w:val="5"/>
        <w:numPr>
          <w:ilvl w:val="0"/>
          <w:numId w:val="5"/>
        </w:numPr>
        <w:spacing w:before="156" w:after="0" w:afterLines="0"/>
        <w:ind w:left="0" w:firstLine="640"/>
        <w:rPr>
          <w:lang w:val="zh-CN"/>
        </w:rPr>
      </w:pPr>
      <w:r>
        <w:rPr>
          <w:rFonts w:hint="eastAsia"/>
          <w:lang w:val="zh-CN"/>
        </w:rPr>
        <w:t>经济及社会发展特征</w:t>
      </w:r>
    </w:p>
    <w:p>
      <w:pPr>
        <w:pStyle w:val="71"/>
        <w:snapToGrid w:val="0"/>
        <w:ind w:firstLine="643"/>
        <w:rPr>
          <w:rFonts w:ascii="仿宋_GB2312" w:hAnsi="仿宋_GB2312" w:cs="仿宋_GB2312"/>
          <w:szCs w:val="32"/>
        </w:rPr>
      </w:pPr>
      <w:r>
        <w:rPr>
          <w:rFonts w:hint="eastAsia" w:ascii="仿宋_GB2312" w:hAnsi="仿宋_GB2312" w:cs="仿宋_GB2312"/>
          <w:b/>
          <w:bCs/>
          <w:szCs w:val="32"/>
        </w:rPr>
        <w:t>融入湾区发展，经济增速领先。</w:t>
      </w:r>
      <w:r>
        <w:rPr>
          <w:rFonts w:hint="eastAsia" w:ascii="仿宋_GB2312" w:hAnsi="仿宋_GB2312" w:cs="仿宋_GB2312"/>
          <w:szCs w:val="32"/>
        </w:rPr>
        <w:t>自2018年“东融”战略的提出及贵广高铁的开通，贺州市与粤港澳大湾区城市的合作快速发展，国内生产总值从2018年的609.83亿元增加到2020年的749.82亿元，全区排名逐步从十四到十二，近三年分别以8.9%（第3）、11.8%（第1）、6.8%（第2）的增速领跑全区。</w:t>
      </w:r>
    </w:p>
    <w:p>
      <w:pPr>
        <w:widowControl/>
        <w:ind w:firstLine="643"/>
        <w:rPr>
          <w:rFonts w:ascii="仿宋_GB2312" w:hAnsi="仿宋_GB2312" w:cs="仿宋_GB2312"/>
          <w:szCs w:val="32"/>
        </w:rPr>
      </w:pPr>
      <w:r>
        <w:rPr>
          <w:rFonts w:hint="eastAsia" w:ascii="仿宋_GB2312" w:hAnsi="仿宋_GB2312" w:cs="仿宋_GB2312"/>
          <w:b/>
          <w:bCs/>
          <w:szCs w:val="32"/>
        </w:rPr>
        <w:t>世界长寿城市，自然生态与历史人文旅游发展基础佳。</w:t>
      </w:r>
      <w:r>
        <w:rPr>
          <w:rFonts w:hint="eastAsia" w:ascii="仿宋_GB2312" w:hAnsi="仿宋_GB2312" w:cs="仿宋_GB2312"/>
          <w:szCs w:val="32"/>
        </w:rPr>
        <w:t>贺州市拥有2100年建城史，历来是海陆丝路对接潇贺古道上的咽喉之城，共拥有2个中国历史文化名镇、9个中国历史文化名村和48个中国传统村落，并有壮、瑶、苗、侗等20多个民族，以喀斯特地貌自然生态景观与历史人文为特色的旅游资源丰富，并已成功创建世界长寿市、中国温泉之城、广西全域旅游示范市等称号，近年来以</w:t>
      </w:r>
      <w:r>
        <w:rPr>
          <w:rFonts w:hint="eastAsia" w:ascii="仿宋_GB2312" w:hAnsi="仿宋_GB2312" w:cs="仿宋_GB2312"/>
        </w:rPr>
        <w:t>“中国温泉之城·世界长寿贺州”</w:t>
      </w:r>
      <w:r>
        <w:rPr>
          <w:rFonts w:hint="eastAsia" w:ascii="仿宋_GB2312" w:hAnsi="仿宋_GB2312" w:cs="仿宋_GB2312"/>
          <w:szCs w:val="32"/>
        </w:rPr>
        <w:t>为文化和旅游品牌，全力推进旅游业发展。</w:t>
      </w:r>
    </w:p>
    <w:p>
      <w:pPr>
        <w:widowControl/>
        <w:ind w:firstLine="643"/>
        <w:rPr>
          <w:rFonts w:ascii="仿宋_GB2312" w:hAnsi="仿宋_GB2312" w:cs="仿宋_GB2312"/>
          <w:szCs w:val="32"/>
        </w:rPr>
      </w:pPr>
      <w:r>
        <w:rPr>
          <w:rFonts w:hint="eastAsia" w:ascii="仿宋_GB2312" w:hAnsi="仿宋_GB2312" w:cs="仿宋_GB2312"/>
          <w:b/>
          <w:bCs/>
          <w:szCs w:val="32"/>
        </w:rPr>
        <w:t>城镇集聚能力提升，本地城镇化特征凸显。</w:t>
      </w:r>
      <w:r>
        <w:rPr>
          <w:rFonts w:hint="eastAsia" w:ascii="仿宋_GB2312" w:hAnsi="仿宋_GB2312" w:cs="仿宋_GB2312"/>
          <w:szCs w:val="32"/>
        </w:rPr>
        <w:t>到2020年，全市城镇化率49.27%，虽未能达到区内平均水平，但仍以年均增速3.78%持续上升，十年间提高了13.98%，处于城镇化加速阶段。随着城镇化进程推进，大量农村人口向城镇聚集程度不断增加，重点聚集区主要分布在市辖区及钟山县。</w:t>
      </w:r>
    </w:p>
    <w:p>
      <w:pPr>
        <w:widowControl/>
        <w:ind w:firstLine="643"/>
        <w:rPr>
          <w:rFonts w:ascii="仿宋_GB2312" w:hAnsi="仿宋_GB2312" w:cs="仿宋_GB2312"/>
          <w:szCs w:val="32"/>
        </w:rPr>
      </w:pPr>
      <w:r>
        <w:rPr>
          <w:rFonts w:hint="eastAsia" w:ascii="仿宋_GB2312" w:hAnsi="仿宋_GB2312" w:cs="仿宋_GB2312"/>
          <w:b/>
          <w:bCs/>
          <w:szCs w:val="32"/>
        </w:rPr>
        <w:t>山水城田共融，组团式带状城市结构已成型。</w:t>
      </w:r>
      <w:r>
        <w:rPr>
          <w:rFonts w:hint="eastAsia" w:ascii="仿宋_GB2312" w:hAnsi="仿宋_GB2312" w:cs="仿宋_GB2312"/>
          <w:szCs w:val="32"/>
        </w:rPr>
        <w:t>受自然地形阻隔，全市人口和城镇空间重点沿贺江、桂江、富群江等河谷盆地集中分布。中心城区</w:t>
      </w:r>
      <w:r>
        <w:rPr>
          <w:rFonts w:hint="eastAsia" w:ascii="仿宋_GB2312" w:hAnsi="仿宋_GB2312" w:cs="仿宋_GB2312"/>
          <w:kern w:val="0"/>
          <w:szCs w:val="32"/>
          <w:lang w:bidi="ar"/>
        </w:rPr>
        <w:t>周边自然山体、贺江及其支流、城市内湖等河湖水系以及农林用地环绕嵌入，</w:t>
      </w:r>
      <w:r>
        <w:rPr>
          <w:rFonts w:hint="eastAsia" w:ascii="仿宋_GB2312" w:hAnsi="仿宋_GB2312" w:cs="仿宋_GB2312"/>
          <w:szCs w:val="32"/>
        </w:rPr>
        <w:t>形成以207国道和贺江为主要发展轴向，以八步—平桂城区为中心组团，辐射联动旺高组团与莲塘—贺街组团的“一轴三组团”空间形态。</w:t>
      </w:r>
    </w:p>
    <w:p>
      <w:pPr>
        <w:pStyle w:val="5"/>
        <w:numPr>
          <w:ilvl w:val="0"/>
          <w:numId w:val="5"/>
        </w:numPr>
        <w:spacing w:before="156" w:after="0" w:afterLines="0"/>
        <w:ind w:left="0" w:firstLine="640"/>
        <w:rPr>
          <w:lang w:val="zh-CN"/>
        </w:rPr>
      </w:pPr>
      <w:bookmarkStart w:id="26" w:name="_Toc1031"/>
      <w:bookmarkStart w:id="27" w:name="_Toc9564"/>
      <w:bookmarkStart w:id="28" w:name="_Toc27686"/>
      <w:r>
        <w:rPr>
          <w:rFonts w:hint="eastAsia"/>
          <w:lang w:val="zh-CN"/>
        </w:rPr>
        <w:t>国土空间保护开发特征</w:t>
      </w:r>
    </w:p>
    <w:p>
      <w:pPr>
        <w:ind w:firstLine="643"/>
        <w:rPr>
          <w:rFonts w:ascii="仿宋_GB2312" w:hAnsi="仿宋_GB2312" w:cs="仿宋_GB2312"/>
        </w:rPr>
      </w:pPr>
      <w:r>
        <w:rPr>
          <w:rFonts w:hint="eastAsia" w:ascii="仿宋_GB2312" w:hAnsi="仿宋_GB2312" w:cs="仿宋_GB2312"/>
          <w:b/>
        </w:rPr>
        <w:t>农业生产空间整体处于适载状态，耕地恢复成效走在全区前列。</w:t>
      </w:r>
      <w:r>
        <w:rPr>
          <w:rFonts w:hint="eastAsia" w:ascii="仿宋_GB2312" w:hAnsi="仿宋_GB2312" w:cs="仿宋_GB2312"/>
        </w:rPr>
        <w:t>全市农业生产适宜区面积为3366.10平方千米，占市域总面积的28.64%，主要分布在八步区的中部、南部和东北部，平桂区的南部和西部，昭平县东北部，钟山县中部和南部，富川瑶族自治县除西部外大片区域等地形坡度较低的平地和平坡地。取土地资源和水资源两种约束条件下的最小值2812.44平方千米作为农业生产最大承载规模，高于现有面积1275.76平方千米，整体处于适载状态。全域属亚热带季风气候，年平均气温20℃，天然富硒土壤面积大、硒含量达到高富硒等级（≥0.4㎎/㎏），耕作条件良好。耕地保护成效方面，贺州市全面推进的耕地保护田长制工作入选全区改革攻坚优秀案例，共治理耕地非粮化面积2947公顷，预计实现耕地净流入1000公顷，成效显著。</w:t>
      </w:r>
    </w:p>
    <w:p>
      <w:pPr>
        <w:pStyle w:val="2"/>
        <w:ind w:firstLine="643"/>
        <w:rPr>
          <w:rFonts w:ascii="仿宋_GB2312" w:hAnsi="仿宋_GB2312" w:cs="仿宋_GB2312"/>
          <w:b/>
          <w:bCs/>
          <w:szCs w:val="32"/>
        </w:rPr>
      </w:pPr>
      <w:r>
        <w:rPr>
          <w:rFonts w:hint="eastAsia" w:ascii="仿宋_GB2312" w:hAnsi="仿宋_GB2312" w:cs="仿宋_GB2312"/>
          <w:b/>
          <w:bCs/>
          <w:szCs w:val="32"/>
        </w:rPr>
        <w:t>生态环境本底优良，探索生态产品价值实现迈出新步伐。</w:t>
      </w:r>
      <w:r>
        <w:rPr>
          <w:rFonts w:hint="eastAsia" w:ascii="仿宋_GB2312" w:hAnsi="仿宋_GB2312" w:cs="仿宋_GB2312"/>
          <w:szCs w:val="32"/>
        </w:rPr>
        <w:t>全市生态保护极重要区面积6596.45平方千米，占市域总面积的56.13%，主要分布在市域北部和东部。昭平县、富川瑶族自治县均属国家重点生态功能区，属于桂东北生态功能区的重要组成部分（南岭山地森林及生物多样性生态功能区的重要组成部分）；城区空气环境质量优良率达到97.5%，地表水环境质量达标率为100%。近年来贺州市积极探索生态产品价值实现的多元化路径，针对尾矿库的安全隐患难题开展修复工作，多措并举引入社会资本开发运行姑婆山足球训练基地，获评为广西首批生态价值实现典型案例；昭平县作为广西生态价值实现试点县，并制定实施方案正在全力推进建设中；富川瑶族自治县荣获全国第六批“绿水青山就是金山银山”实践创新基地，是广西唯一获得此殊荣的县区。</w:t>
      </w:r>
    </w:p>
    <w:p>
      <w:pPr>
        <w:ind w:firstLine="643"/>
        <w:rPr>
          <w:rFonts w:ascii="仿宋_GB2312" w:hAnsi="仿宋_GB2312" w:cs="仿宋_GB2312"/>
          <w:bCs/>
          <w:szCs w:val="32"/>
        </w:rPr>
      </w:pPr>
      <w:r>
        <w:rPr>
          <w:rFonts w:hint="eastAsia" w:ascii="仿宋_GB2312" w:hAnsi="仿宋_GB2312" w:cs="仿宋_GB2312"/>
          <w:b/>
          <w:bCs/>
          <w:szCs w:val="32"/>
        </w:rPr>
        <w:t>城镇建设承载能力总体较好，高质量发展及存量建设用地盘活成为全区示范。</w:t>
      </w:r>
      <w:r>
        <w:rPr>
          <w:rFonts w:hint="eastAsia" w:ascii="仿宋_GB2312" w:hAnsi="仿宋_GB2312" w:cs="仿宋_GB2312"/>
          <w:szCs w:val="32"/>
        </w:rPr>
        <w:t>全市城镇建设适宜区域面积3116.18平方千米，占市域总面积的26.51%。受地形坡度影响，与农业生产适宜区高度重叠，主要分布在八步区中部、南部，平桂区中部、北部，昭平县东北部，钟山县东部、南部及富川瑶族自治县除西部外大片区域等区位条件优越、地质灾害危险性较小、地形坡度平坦、地形起伏度较小的平原和盆地，已形成组团式带状城市结构的山水城田共融格局。高质量发展方面，八步、平桂两区也被评为2021年度“广西高质量发展先进县”；存量建设用地盘活方面，高效实施“五个一批”措施，</w:t>
      </w:r>
      <w:r>
        <w:rPr>
          <w:rFonts w:ascii="仿宋_GB2312" w:hAnsi="仿宋_GB2312" w:cs="仿宋_GB2312"/>
          <w:szCs w:val="32"/>
        </w:rPr>
        <w:t>2022</w:t>
      </w:r>
      <w:r>
        <w:rPr>
          <w:rFonts w:hint="eastAsia" w:ascii="仿宋_GB2312" w:hAnsi="仿宋_GB2312" w:cs="仿宋_GB2312"/>
          <w:szCs w:val="32"/>
        </w:rPr>
        <w:t>年存量用地面积为</w:t>
      </w:r>
      <w:r>
        <w:rPr>
          <w:rFonts w:ascii="仿宋_GB2312" w:hAnsi="仿宋_GB2312" w:cs="仿宋_GB2312"/>
          <w:szCs w:val="32"/>
        </w:rPr>
        <w:t>13.87</w:t>
      </w:r>
      <w:r>
        <w:rPr>
          <w:rFonts w:hint="eastAsia" w:ascii="仿宋_GB2312" w:hAnsi="仿宋_GB2312" w:cs="仿宋_GB2312"/>
          <w:szCs w:val="32"/>
        </w:rPr>
        <w:t>平方千米，完成“增存挂钩”总量达</w:t>
      </w:r>
      <w:r>
        <w:rPr>
          <w:rFonts w:ascii="仿宋_GB2312" w:hAnsi="仿宋_GB2312" w:cs="仿宋_GB2312"/>
          <w:szCs w:val="32"/>
        </w:rPr>
        <w:t>6.11</w:t>
      </w:r>
      <w:r>
        <w:rPr>
          <w:rFonts w:hint="eastAsia" w:ascii="仿宋_GB2312" w:hAnsi="仿宋_GB2312" w:cs="仿宋_GB2312"/>
          <w:szCs w:val="32"/>
        </w:rPr>
        <w:t>平方千米，超额完成上级下达任务。</w:t>
      </w:r>
    </w:p>
    <w:p>
      <w:pPr>
        <w:pStyle w:val="4"/>
        <w:numPr>
          <w:ilvl w:val="0"/>
          <w:numId w:val="4"/>
        </w:numPr>
        <w:spacing w:line="460" w:lineRule="exact"/>
        <w:ind w:firstLine="0"/>
      </w:pPr>
      <w:bookmarkStart w:id="29" w:name="_Toc213018238"/>
      <w:bookmarkStart w:id="30" w:name="_Toc27478"/>
      <w:bookmarkStart w:id="31" w:name="_Toc29498"/>
      <w:bookmarkStart w:id="32" w:name="_Toc21371"/>
      <w:bookmarkStart w:id="33" w:name="_Toc9145"/>
      <w:bookmarkStart w:id="34" w:name="_Toc29332"/>
      <w:bookmarkStart w:id="35" w:name="_Toc8664"/>
      <w:bookmarkStart w:id="36" w:name="_Toc9034_WPSOffice_Level2"/>
      <w:bookmarkStart w:id="37" w:name="_Toc21244"/>
      <w:bookmarkStart w:id="38" w:name="_Toc9190"/>
      <w:r>
        <w:rPr>
          <w:rFonts w:hint="eastAsia"/>
        </w:rPr>
        <w:t>发展形势</w:t>
      </w:r>
      <w:bookmarkEnd w:id="29"/>
    </w:p>
    <w:p>
      <w:pPr>
        <w:pStyle w:val="5"/>
        <w:numPr>
          <w:ilvl w:val="0"/>
          <w:numId w:val="5"/>
        </w:numPr>
        <w:spacing w:before="156" w:after="0" w:afterLines="0"/>
        <w:ind w:left="0" w:firstLine="640"/>
        <w:rPr>
          <w:lang w:val="zh-CN"/>
        </w:rPr>
      </w:pPr>
      <w:r>
        <w:rPr>
          <w:rFonts w:hint="eastAsia"/>
          <w:lang w:val="zh-CN"/>
        </w:rPr>
        <w:t>贺州的发展形势</w:t>
      </w:r>
    </w:p>
    <w:p>
      <w:pPr>
        <w:pStyle w:val="2"/>
        <w:ind w:firstLine="640"/>
        <w:rPr>
          <w:rFonts w:ascii="仿宋_GB2312" w:hAnsi="仿宋_GB2312" w:cs="仿宋_GB2312"/>
        </w:rPr>
      </w:pPr>
      <w:r>
        <w:rPr>
          <w:rFonts w:hint="eastAsia" w:eastAsia="仿宋"/>
        </w:rPr>
        <w:t>在构建国内大循环为主体、国内国际双循环相互促进的新发展格局的背景下，</w:t>
      </w:r>
      <w:r>
        <w:rPr>
          <w:rFonts w:hint="eastAsia" w:ascii="仿宋_GB2312" w:hAnsi="仿宋_GB2312" w:cs="仿宋_GB2312"/>
        </w:rPr>
        <w:t>随着《区域全面经济伙伴关系协定》（</w:t>
      </w:r>
      <w:r>
        <w:rPr>
          <w:rFonts w:ascii="仿宋_GB2312" w:hAnsi="仿宋_GB2312" w:cs="仿宋_GB2312"/>
        </w:rPr>
        <w:t>RCEP</w:t>
      </w:r>
      <w:r>
        <w:rPr>
          <w:rFonts w:hint="eastAsia" w:ascii="仿宋_GB2312" w:hAnsi="仿宋_GB2312" w:cs="仿宋_GB2312"/>
        </w:rPr>
        <w:t>）正式签署，西部陆海新通道、粤港澳大湾区发展等国家级重大发展战略的实施推进，广西提出了全面对接粤港澳大湾区的发展战略，贺州市凭借连接中南西南、面向东部的区位优势，被赋予东融先行示范区新使命。贺州面临新的发展形势主要在三个方面：</w:t>
      </w:r>
    </w:p>
    <w:p>
      <w:pPr>
        <w:snapToGrid w:val="0"/>
        <w:ind w:firstLine="640"/>
        <w:rPr>
          <w:rFonts w:ascii="仿宋_GB2312" w:hAnsi="仿宋_GB2312" w:cs="仿宋_GB2312"/>
        </w:rPr>
      </w:pPr>
      <w:r>
        <w:rPr>
          <w:rFonts w:hint="eastAsia" w:ascii="仿宋_GB2312" w:hAnsi="仿宋_GB2312" w:cs="仿宋_GB2312"/>
        </w:rPr>
        <w:t>在区域发展新环境下，贺州成为建构广西及大西南地区，承接粤港澳大湾区发展的重要支点，以及将沿海经济带和京广经济轴的势能向西南、西部地区扩展的支点。</w:t>
      </w:r>
    </w:p>
    <w:p>
      <w:pPr>
        <w:snapToGrid w:val="0"/>
        <w:ind w:firstLine="640"/>
        <w:rPr>
          <w:rFonts w:ascii="仿宋_GB2312" w:hAnsi="仿宋_GB2312" w:cs="仿宋_GB2312"/>
        </w:rPr>
      </w:pPr>
      <w:r>
        <w:rPr>
          <w:rFonts w:hint="eastAsia" w:ascii="仿宋_GB2312" w:hAnsi="仿宋_GB2312" w:cs="仿宋_GB2312"/>
          <w:szCs w:val="30"/>
        </w:rPr>
        <w:t>贺州市现有和规划的区域交通通道资源是日后新的区域格局中发展的重要突破口。积极把握贵广高铁、柳韶铁路和北海－贺州城际线带来的切实利好及</w:t>
      </w:r>
      <w:r>
        <w:rPr>
          <w:rFonts w:hint="eastAsia" w:ascii="仿宋_GB2312" w:hAnsi="仿宋_GB2312" w:cs="仿宋_GB2312"/>
        </w:rPr>
        <w:t>益</w:t>
      </w:r>
      <w:r>
        <w:rPr>
          <w:rFonts w:hint="eastAsia" w:ascii="仿宋_GB2312" w:hAnsi="仿宋_GB2312" w:cs="仿宋_GB2312"/>
          <w:szCs w:val="30"/>
        </w:rPr>
        <w:t>湛铁路和贺江航道扩能带来的发展机遇，打通贺州联通粤港澳、柳州、桂林以及经梧州南下向海发展的通道，加强贺州与周边城市各项资源的对接。</w:t>
      </w:r>
    </w:p>
    <w:p>
      <w:pPr>
        <w:snapToGrid w:val="0"/>
        <w:ind w:firstLine="640"/>
        <w:rPr>
          <w:rFonts w:ascii="仿宋_GB2312" w:hAnsi="仿宋_GB2312" w:cs="仿宋_GB2312"/>
        </w:rPr>
      </w:pPr>
      <w:r>
        <w:rPr>
          <w:rFonts w:hint="eastAsia" w:ascii="仿宋_GB2312" w:hAnsi="仿宋_GB2312" w:cs="仿宋_GB2312"/>
        </w:rPr>
        <w:t>广西全面对接粤港澳大湾区建设，借力大湾区发展，加快打造粤港澳大湾区重要战略腹地。贺州作为广西全力“东融”的桥头堡，先行示范区的设立是贺州较以往战略性发展的最重要的抓手，正值机遇窗口期，需抓准大湾区规划建设机遇，充分发挥贺州资源优势，主动对接大湾区发展。</w:t>
      </w:r>
    </w:p>
    <w:p>
      <w:pPr>
        <w:pStyle w:val="2"/>
        <w:ind w:firstLine="643"/>
        <w:rPr>
          <w:rFonts w:ascii="仿宋_GB2312" w:hAnsi="仿宋_GB2312" w:cs="仿宋_GB2312"/>
        </w:rPr>
      </w:pPr>
      <w:r>
        <w:rPr>
          <w:rFonts w:hint="eastAsia" w:ascii="仿宋_GB2312" w:hAnsi="仿宋_GB2312" w:cs="仿宋_GB2312"/>
          <w:b/>
          <w:bCs/>
        </w:rPr>
        <w:t>贺州市坚持新发展理念，积极融入新发展格局，转变发展方式，贯彻落实自治区党委赋予贺州建设广西东融先行示范区新定位、新使命。</w:t>
      </w:r>
      <w:r>
        <w:rPr>
          <w:rFonts w:hint="eastAsia" w:ascii="仿宋_GB2312" w:hAnsi="仿宋_GB2312" w:cs="仿宋_GB2312"/>
        </w:rPr>
        <w:t>根据贺州市“十四五”规划，贺州市在今后五年，经济社会发展要努力实现“赶超跨越、开创新局”，到2035年，将与全国全区同步基本实现社会主义现代化。</w:t>
      </w:r>
    </w:p>
    <w:p>
      <w:pPr>
        <w:pStyle w:val="4"/>
        <w:numPr>
          <w:ilvl w:val="0"/>
          <w:numId w:val="4"/>
        </w:numPr>
        <w:spacing w:before="156" w:beforeLines="50" w:line="460" w:lineRule="exact"/>
        <w:ind w:left="0" w:firstLine="0"/>
      </w:pPr>
      <w:bookmarkStart w:id="39" w:name="_Toc213018239"/>
      <w:r>
        <w:rPr>
          <w:rFonts w:hint="eastAsia"/>
        </w:rPr>
        <w:t>问题风险</w:t>
      </w:r>
      <w:bookmarkEnd w:id="39"/>
    </w:p>
    <w:p>
      <w:pPr>
        <w:pStyle w:val="5"/>
        <w:numPr>
          <w:ilvl w:val="0"/>
          <w:numId w:val="5"/>
        </w:numPr>
        <w:spacing w:before="156" w:after="0" w:afterLines="0"/>
        <w:ind w:left="0" w:firstLine="640"/>
        <w:rPr>
          <w:lang w:val="zh-CN"/>
        </w:rPr>
      </w:pPr>
      <w:r>
        <w:rPr>
          <w:rFonts w:hint="eastAsia"/>
          <w:lang w:val="zh-CN"/>
        </w:rPr>
        <w:t>开发保护的主要问题</w:t>
      </w:r>
    </w:p>
    <w:p>
      <w:pPr>
        <w:ind w:firstLine="643"/>
        <w:rPr>
          <w:rFonts w:ascii="仿宋_GB2312" w:hAnsi="仿宋_GB2312" w:cs="仿宋_GB2312"/>
        </w:rPr>
      </w:pPr>
      <w:r>
        <w:rPr>
          <w:rFonts w:hint="eastAsia" w:ascii="仿宋_GB2312" w:hAnsi="仿宋_GB2312" w:cs="仿宋_GB2312"/>
          <w:b/>
        </w:rPr>
        <w:t>耕地占补平衡压力大。</w:t>
      </w:r>
      <w:r>
        <w:rPr>
          <w:rFonts w:hint="eastAsia" w:ascii="仿宋_GB2312" w:hAnsi="仿宋_GB2312" w:cs="仿宋_GB2312"/>
        </w:rPr>
        <w:t>虽然贺州市在耕地恢复工作上取得较好成绩，但目前市域耕地后备资源潜力已十分有限。经调查摸底，全市仅有宜耕图斑4103个，面积为1827公顷，图斑地块面积小且分散，垦造及后期管护难度大，后续耕地开垦持续开发潜力不足。</w:t>
      </w:r>
    </w:p>
    <w:p>
      <w:pPr>
        <w:ind w:firstLine="643"/>
        <w:rPr>
          <w:rFonts w:ascii="仿宋_GB2312" w:hAnsi="仿宋_GB2312" w:cs="仿宋_GB2312"/>
        </w:rPr>
      </w:pPr>
      <w:r>
        <w:rPr>
          <w:rFonts w:hint="eastAsia" w:ascii="仿宋_GB2312" w:hAnsi="仿宋_GB2312" w:cs="仿宋_GB2312"/>
          <w:b/>
        </w:rPr>
        <w:t>城乡建设用地结构不尽合理，用地效率有待提升。</w:t>
      </w:r>
      <w:r>
        <w:rPr>
          <w:rFonts w:hint="eastAsia" w:ascii="仿宋_GB2312" w:hAnsi="仿宋_GB2312" w:cs="仿宋_GB2312"/>
        </w:rPr>
        <w:t>全市城镇化水平接近50%，而现状村庄建设用地是城镇建设用地的</w:t>
      </w:r>
      <w:r>
        <w:rPr>
          <w:rFonts w:ascii="仿宋_GB2312" w:hAnsi="仿宋_GB2312" w:cs="仿宋_GB2312"/>
        </w:rPr>
        <w:t>3</w:t>
      </w:r>
      <w:r>
        <w:rPr>
          <w:rFonts w:hint="eastAsia" w:ascii="仿宋_GB2312" w:hAnsi="仿宋_GB2312" w:cs="仿宋_GB2312"/>
        </w:rPr>
        <w:t>倍，农村建设用地利用仍较为粗放，同时原城市总体规划确定的市域副中心城市及部分重点乡镇发展缓慢，辐射带动能力仍有较大提升空间，全市用地效率仍有待提升。</w:t>
      </w:r>
    </w:p>
    <w:p>
      <w:pPr>
        <w:ind w:firstLine="643"/>
        <w:rPr>
          <w:rFonts w:ascii="仿宋_GB2312" w:hAnsi="仿宋_GB2312" w:cs="仿宋_GB2312"/>
          <w:b/>
        </w:rPr>
      </w:pPr>
      <w:r>
        <w:rPr>
          <w:rFonts w:hint="eastAsia" w:ascii="仿宋_GB2312" w:hAnsi="仿宋_GB2312" w:cs="仿宋_GB2312"/>
          <w:b/>
        </w:rPr>
        <w:t>生态历史人文本底优越，城市价值彰显仍不足。</w:t>
      </w:r>
      <w:r>
        <w:rPr>
          <w:rFonts w:hint="eastAsia" w:ascii="仿宋_GB2312" w:hAnsi="仿宋_GB2312" w:cs="仿宋_GB2312"/>
        </w:rPr>
        <w:t>凭借优良的自然资源禀赋，贺州市已拥有“世界长寿市”“国家森林城市”等多个城市名片，但局部地区的石漠化和水土流失治理有待进一步提升，</w:t>
      </w:r>
      <w:r>
        <w:rPr>
          <w:rFonts w:hint="eastAsia" w:ascii="仿宋_GB2312" w:hAnsi="仿宋_GB2312" w:cs="仿宋_GB2312"/>
          <w:bCs/>
        </w:rPr>
        <w:t>生态资源优势未能实现价值化；</w:t>
      </w:r>
      <w:r>
        <w:rPr>
          <w:rFonts w:hint="eastAsia" w:ascii="仿宋_GB2312" w:hAnsi="仿宋_GB2312" w:cs="仿宋_GB2312"/>
        </w:rPr>
        <w:t>贺州市拥有丰富历史文化与多民族文化资源，但目前历史文化保护未能形成全域化，文化利用及挖潜能力不足，“城在画中造”的喀斯特山水城镇风貌也未能得到较好地建设引导。</w:t>
      </w:r>
    </w:p>
    <w:p>
      <w:pPr>
        <w:ind w:firstLine="643"/>
      </w:pPr>
      <w:r>
        <w:rPr>
          <w:rFonts w:hint="eastAsia" w:ascii="仿宋_GB2312" w:hAnsi="仿宋_GB2312" w:cs="仿宋_GB2312"/>
          <w:b/>
        </w:rPr>
        <w:t>中心城区用地效率及设施配置有待进一步提升。</w:t>
      </w:r>
      <w:r>
        <w:rPr>
          <w:rFonts w:hint="eastAsia" w:ascii="仿宋_GB2312" w:hAnsi="仿宋_GB2312" w:cs="仿宋_GB2312"/>
        </w:rPr>
        <w:t>现状中心城区常住人口63万人，人均城市建设用地面积指标偏大（122.63平方米/人），除用地效率有待进一步提升外，主要原因为中心城区工矿用地占比高达其总建设用地的三分之一。公共服务设施建设情况虽然有序推进，但整体基础较为薄弱，空间布局分布不均，部分设施15分钟步行覆盖率偏低。人均公园绿地与开敞空间用地面积5.12</w:t>
      </w:r>
      <w:r>
        <w:rPr>
          <w:rFonts w:hint="eastAsia"/>
        </w:rPr>
        <w:t>平方米，与国家人均公园绿地指标要求存在差距。</w:t>
      </w:r>
    </w:p>
    <w:p>
      <w:pPr>
        <w:pStyle w:val="5"/>
        <w:numPr>
          <w:ilvl w:val="0"/>
          <w:numId w:val="5"/>
        </w:numPr>
        <w:spacing w:before="156" w:after="0" w:afterLines="0"/>
        <w:ind w:left="0" w:firstLine="640"/>
        <w:rPr>
          <w:lang w:val="zh-CN"/>
        </w:rPr>
      </w:pPr>
      <w:r>
        <w:rPr>
          <w:rFonts w:hint="eastAsia"/>
          <w:lang w:val="zh-CN"/>
        </w:rPr>
        <w:t>面临的风险挑战</w:t>
      </w:r>
    </w:p>
    <w:p>
      <w:pPr>
        <w:pStyle w:val="2"/>
        <w:ind w:firstLine="643"/>
        <w:rPr>
          <w:rFonts w:ascii="仿宋_GB2312" w:hAnsi="仿宋_GB2312" w:cs="仿宋_GB2312"/>
        </w:rPr>
      </w:pPr>
      <w:r>
        <w:rPr>
          <w:rFonts w:hint="eastAsia" w:ascii="仿宋_GB2312" w:hAnsi="仿宋_GB2312" w:cs="仿宋_GB2312"/>
          <w:b/>
        </w:rPr>
        <w:t>生态文明建设下资源约束趋紧，平衡资源保护与城市发展难度加大。</w:t>
      </w:r>
      <w:r>
        <w:rPr>
          <w:rFonts w:hint="eastAsia" w:ascii="仿宋_GB2312" w:hAnsi="仿宋_GB2312" w:cs="仿宋_GB2312"/>
          <w:bCs/>
        </w:rPr>
        <w:t>为持续推进生态文明建设，贺州市将积极利用后发优势把握跨越式发展的历史机遇，推动社会经济发展全面向绿色转型。</w:t>
      </w:r>
      <w:r>
        <w:rPr>
          <w:rFonts w:hint="eastAsia" w:ascii="仿宋_GB2312" w:hAnsi="仿宋_GB2312" w:cs="仿宋_GB2312"/>
        </w:rPr>
        <w:t>但全市农业生产与城镇建设适宜空间高度重叠，土地供应长期偏紧；城市支柱产业对矿产资源的依赖较强，产业结构有待优化；资源供给不足与配置不合理并存，产业经济发展与矿产资源保护协调难度加大。强烈的城乡生产生活拓展需求与生态文明建设要求不相适应，资源配置与利用方式亟待优化。</w:t>
      </w:r>
    </w:p>
    <w:p>
      <w:pPr>
        <w:ind w:firstLine="643"/>
        <w:rPr>
          <w:rFonts w:ascii="仿宋_GB2312" w:hAnsi="仿宋_GB2312" w:cs="仿宋_GB2312"/>
        </w:rPr>
      </w:pPr>
      <w:r>
        <w:rPr>
          <w:rFonts w:hint="eastAsia" w:ascii="仿宋_GB2312" w:hAnsi="仿宋_GB2312" w:cs="仿宋_GB2312"/>
          <w:b/>
          <w:szCs w:val="30"/>
        </w:rPr>
        <w:t>传统城市建设与治理模式与人民建设高质量城市的要求不匹配。</w:t>
      </w:r>
      <w:r>
        <w:rPr>
          <w:rFonts w:hint="eastAsia" w:ascii="仿宋_GB2312" w:hAnsi="仿宋_GB2312" w:cs="仿宋_GB2312"/>
          <w:szCs w:val="30"/>
        </w:rPr>
        <w:t>高质量建设要求合理安排生产、生活、生态空间，走内涵式、集约式、绿色化的高质量发展道路，为人民创造宜业、宜居、宜乐、宜游的良好环境。但当前医疗、教育、养老等基础设施短板明显，城市空间品质有待提升，需要持续改善城市公园绿地和开敞空间规模不足与品质不佳等问题。建设用地利用相对粗放，城区低效用地较多，存量盘活难度大，城市管控能力有待加强，对高质量城市建设提出挑战</w:t>
      </w:r>
      <w:r>
        <w:rPr>
          <w:rFonts w:hint="eastAsia" w:ascii="仿宋_GB2312" w:hAnsi="仿宋_GB2312" w:cs="仿宋_GB2312"/>
        </w:rPr>
        <w:t>。</w:t>
      </w:r>
    </w:p>
    <w:p>
      <w:pPr>
        <w:ind w:firstLine="643"/>
        <w:rPr>
          <w:rFonts w:ascii="仿宋_GB2312" w:hAnsi="仿宋_GB2312" w:cs="仿宋_GB2312"/>
          <w:szCs w:val="30"/>
        </w:rPr>
      </w:pPr>
      <w:r>
        <w:rPr>
          <w:rFonts w:hint="eastAsia" w:ascii="仿宋_GB2312" w:hAnsi="仿宋_GB2312" w:cs="仿宋_GB2312"/>
          <w:b/>
          <w:szCs w:val="30"/>
        </w:rPr>
        <w:t>面对灾害及疫情，城市发展的安全韧性保障需进一步加强。</w:t>
      </w:r>
      <w:r>
        <w:rPr>
          <w:rFonts w:hint="eastAsia" w:ascii="仿宋_GB2312" w:hAnsi="仿宋_GB2312" w:cs="仿宋_GB2312"/>
          <w:szCs w:val="30"/>
        </w:rPr>
        <w:t>充分认识贺州市作为区域水源涵养及保护区的生态安全重要地位，以及城市发展粮食安全保障的重要性，生态保护、水资源保护和耕地保护仍需加强。同时，贺州市是广西四个暴雨中心之一，局部强降雨诱发突发性和群发性地质灾害较多，防洪排涝建设、消防设施布局、避难场所建设及人防工程等方面均存在一定不足，城市应急韧性短板需要尽快补</w:t>
      </w:r>
      <w:bookmarkEnd w:id="26"/>
      <w:bookmarkEnd w:id="27"/>
      <w:bookmarkEnd w:id="28"/>
      <w:bookmarkEnd w:id="30"/>
      <w:bookmarkEnd w:id="31"/>
      <w:bookmarkEnd w:id="32"/>
      <w:bookmarkEnd w:id="33"/>
      <w:bookmarkEnd w:id="34"/>
      <w:bookmarkEnd w:id="35"/>
      <w:bookmarkEnd w:id="36"/>
      <w:bookmarkEnd w:id="37"/>
      <w:bookmarkEnd w:id="38"/>
      <w:r>
        <w:rPr>
          <w:rFonts w:hint="eastAsia" w:ascii="仿宋_GB2312" w:hAnsi="仿宋_GB2312" w:cs="仿宋_GB2312"/>
          <w:szCs w:val="30"/>
        </w:rPr>
        <w:t>齐。</w:t>
      </w:r>
    </w:p>
    <w:p>
      <w:pPr>
        <w:pStyle w:val="3"/>
        <w:keepNext w:val="0"/>
        <w:widowControl/>
        <w:numPr>
          <w:ilvl w:val="0"/>
          <w:numId w:val="3"/>
        </w:numPr>
        <w:autoSpaceDE w:val="0"/>
        <w:autoSpaceDN w:val="0"/>
        <w:rPr>
          <w:rFonts w:ascii="方正小标宋_GBK" w:hAnsi="方正小标宋_GBK" w:cs="方正小标宋_GBK"/>
          <w:szCs w:val="36"/>
          <w:lang w:val="zh-CN"/>
        </w:rPr>
        <w:sectPr>
          <w:footerReference r:id="rId10" w:type="default"/>
          <w:pgSz w:w="11906" w:h="16838"/>
          <w:pgMar w:top="1418" w:right="1474" w:bottom="1985" w:left="1588" w:header="0" w:footer="1588" w:gutter="0"/>
          <w:pgNumType w:start="1"/>
          <w:cols w:space="425" w:num="1"/>
          <w:docGrid w:type="lines" w:linePitch="312" w:charSpace="0"/>
        </w:sectPr>
      </w:pPr>
      <w:bookmarkStart w:id="40" w:name="_Toc32639"/>
      <w:bookmarkStart w:id="41" w:name="_Toc28613"/>
      <w:bookmarkStart w:id="42" w:name="_Toc12768"/>
      <w:bookmarkStart w:id="43" w:name="_Toc1133"/>
      <w:bookmarkStart w:id="44" w:name="_Toc28282"/>
      <w:bookmarkStart w:id="45" w:name="_Toc17892"/>
      <w:bookmarkStart w:id="46" w:name="_Toc11339"/>
      <w:bookmarkStart w:id="47" w:name="_Toc14319"/>
    </w:p>
    <w:p>
      <w:pPr>
        <w:pStyle w:val="3"/>
        <w:keepNext w:val="0"/>
        <w:widowControl/>
        <w:numPr>
          <w:ilvl w:val="0"/>
          <w:numId w:val="3"/>
        </w:numPr>
        <w:autoSpaceDE w:val="0"/>
        <w:autoSpaceDN w:val="0"/>
        <w:rPr>
          <w:rFonts w:ascii="方正小标宋_GBK" w:hAnsi="方正小标宋_GBK" w:cs="方正小标宋_GBK"/>
          <w:szCs w:val="36"/>
        </w:rPr>
      </w:pPr>
      <w:r>
        <w:fldChar w:fldCharType="begin"/>
      </w:r>
      <w:r>
        <w:instrText xml:space="preserve"> HYPERLINK \l "_Toc21844" </w:instrText>
      </w:r>
      <w:r>
        <w:fldChar w:fldCharType="separate"/>
      </w:r>
      <w:bookmarkStart w:id="48" w:name="_Toc31004_WPSOffice_Level1"/>
      <w:bookmarkStart w:id="49" w:name="_Toc213018240"/>
      <w:r>
        <w:rPr>
          <w:rFonts w:hint="eastAsia" w:ascii="方正小标宋_GBK" w:hAnsi="方正小标宋_GBK" w:cs="方正小标宋_GBK"/>
          <w:szCs w:val="36"/>
        </w:rPr>
        <w:t>规划目标与空间战略</w:t>
      </w:r>
      <w:bookmarkEnd w:id="48"/>
      <w:bookmarkEnd w:id="49"/>
      <w:r>
        <w:rPr>
          <w:rFonts w:hint="eastAsia" w:ascii="方正小标宋_GBK" w:hAnsi="方正小标宋_GBK" w:cs="方正小标宋_GBK"/>
          <w:szCs w:val="36"/>
        </w:rPr>
        <w:fldChar w:fldCharType="end"/>
      </w:r>
      <w:bookmarkEnd w:id="40"/>
      <w:bookmarkEnd w:id="41"/>
      <w:bookmarkEnd w:id="42"/>
      <w:bookmarkEnd w:id="43"/>
      <w:bookmarkEnd w:id="44"/>
      <w:bookmarkEnd w:id="45"/>
      <w:bookmarkEnd w:id="46"/>
      <w:bookmarkEnd w:id="47"/>
    </w:p>
    <w:p>
      <w:pPr>
        <w:pStyle w:val="4"/>
        <w:numPr>
          <w:ilvl w:val="0"/>
          <w:numId w:val="6"/>
        </w:numPr>
        <w:spacing w:before="156" w:beforeLines="50" w:line="460" w:lineRule="exact"/>
        <w:ind w:left="0" w:firstLine="0"/>
      </w:pPr>
      <w:bookmarkStart w:id="50" w:name="_Toc7699"/>
      <w:bookmarkStart w:id="51" w:name="_Toc11621"/>
      <w:bookmarkStart w:id="52" w:name="_Toc21570"/>
      <w:bookmarkStart w:id="53" w:name="_Toc9361"/>
      <w:bookmarkStart w:id="54" w:name="_Toc26801"/>
      <w:bookmarkStart w:id="55" w:name="_Toc12748_WPSOffice_Level2"/>
      <w:bookmarkStart w:id="56" w:name="_Toc213018241"/>
      <w:bookmarkStart w:id="57" w:name="_Toc17981"/>
      <w:bookmarkStart w:id="58" w:name="_Toc29513"/>
      <w:bookmarkStart w:id="59" w:name="_Toc19333"/>
      <w:bookmarkStart w:id="60" w:name="_Toc20259"/>
      <w:r>
        <w:rPr>
          <w:rFonts w:hint="eastAsia"/>
        </w:rPr>
        <w:t>总体要求</w:t>
      </w:r>
      <w:bookmarkEnd w:id="50"/>
      <w:bookmarkEnd w:id="51"/>
      <w:bookmarkEnd w:id="52"/>
      <w:bookmarkEnd w:id="53"/>
      <w:bookmarkEnd w:id="54"/>
      <w:bookmarkEnd w:id="55"/>
      <w:bookmarkEnd w:id="56"/>
      <w:bookmarkEnd w:id="57"/>
      <w:bookmarkEnd w:id="58"/>
      <w:bookmarkEnd w:id="59"/>
    </w:p>
    <w:p>
      <w:pPr>
        <w:pStyle w:val="5"/>
        <w:numPr>
          <w:ilvl w:val="0"/>
          <w:numId w:val="5"/>
        </w:numPr>
        <w:spacing w:before="156" w:after="0" w:afterLines="0"/>
        <w:ind w:left="0" w:firstLine="640"/>
        <w:rPr>
          <w:lang w:val="zh-CN"/>
        </w:rPr>
      </w:pPr>
      <w:bookmarkStart w:id="61" w:name="_Toc82165536"/>
      <w:bookmarkStart w:id="62" w:name="_Toc82093912"/>
      <w:r>
        <w:rPr>
          <w:rFonts w:hint="eastAsia"/>
          <w:lang w:val="zh-CN"/>
        </w:rPr>
        <w:t>指导思想</w:t>
      </w:r>
    </w:p>
    <w:p>
      <w:pPr>
        <w:snapToGrid w:val="0"/>
        <w:ind w:firstLine="640"/>
        <w:rPr>
          <w:rFonts w:ascii="仿宋_GB2312" w:hAnsi="仿宋_GB2312" w:cs="仿宋_GB2312"/>
        </w:rPr>
      </w:pPr>
      <w:r>
        <w:rPr>
          <w:szCs w:val="32"/>
          <w:shd w:val="clear" w:color="auto" w:fill="FFFFFF"/>
          <w:lang w:val="zh-TW" w:bidi="ar"/>
        </w:rPr>
        <w:t>以习近平新时代中国特色社会主义思想为指导，深入贯彻党的二十大精神，</w:t>
      </w:r>
      <w:r>
        <w:rPr>
          <w:rFonts w:hint="eastAsia"/>
          <w:szCs w:val="32"/>
          <w:shd w:val="clear" w:color="auto" w:fill="FFFFFF"/>
          <w:lang w:val="zh-TW" w:bidi="ar"/>
        </w:rPr>
        <w:t>深入贯彻落实习近平总书记对广西重大方略要求</w:t>
      </w:r>
      <w:r>
        <w:rPr>
          <w:szCs w:val="32"/>
          <w:shd w:val="clear" w:color="auto" w:fill="FFFFFF"/>
          <w:lang w:val="zh-TW" w:bidi="ar"/>
        </w:rPr>
        <w:t>，协调推进</w:t>
      </w:r>
      <w:r>
        <w:rPr>
          <w:rFonts w:hint="eastAsia"/>
          <w:szCs w:val="32"/>
          <w:shd w:val="clear" w:color="auto" w:fill="FFFFFF"/>
          <w:lang w:val="zh-TW" w:bidi="ar"/>
        </w:rPr>
        <w:t>“</w:t>
      </w:r>
      <w:r>
        <w:rPr>
          <w:szCs w:val="32"/>
          <w:shd w:val="clear" w:color="auto" w:fill="FFFFFF"/>
          <w:lang w:val="zh-TW" w:bidi="ar"/>
        </w:rPr>
        <w:t>四个全面</w:t>
      </w:r>
      <w:r>
        <w:rPr>
          <w:rFonts w:hint="eastAsia"/>
          <w:szCs w:val="32"/>
          <w:shd w:val="clear" w:color="auto" w:fill="FFFFFF"/>
          <w:lang w:val="zh-TW" w:bidi="ar"/>
        </w:rPr>
        <w:t>”</w:t>
      </w:r>
      <w:r>
        <w:rPr>
          <w:szCs w:val="32"/>
          <w:shd w:val="clear" w:color="auto" w:fill="FFFFFF"/>
          <w:lang w:val="zh-TW" w:bidi="ar"/>
        </w:rPr>
        <w:t>战略布局，贯彻新发展理念，积极服务和融入新发展格局，坚持底线思维与系统观念，以构建优势互补、高质量发展的区域经济布局和国土空间体系为主题，以自然资源和国土空间保值、增值与赋能为主线，以满足人民日益增长的美好生活需要为根本目的，统筹发展和安全，实施山水林田湖草沙一体化保护和系统治理，优化自然资源要素配置与国土空间发展支撑体系，为</w:t>
      </w:r>
      <w:r>
        <w:rPr>
          <w:rFonts w:hint="eastAsia"/>
          <w:szCs w:val="32"/>
          <w:shd w:val="clear" w:color="auto" w:fill="FFFFFF"/>
          <w:lang w:bidi="ar"/>
        </w:rPr>
        <w:t>贺州市</w:t>
      </w:r>
      <w:r>
        <w:rPr>
          <w:szCs w:val="32"/>
          <w:shd w:val="clear" w:color="auto" w:fill="FFFFFF"/>
          <w:lang w:bidi="ar"/>
        </w:rPr>
        <w:t>实现第二个百年奋斗目</w:t>
      </w:r>
      <w:r>
        <w:rPr>
          <w:rFonts w:hint="eastAsia"/>
          <w:szCs w:val="32"/>
          <w:shd w:val="clear" w:color="auto" w:fill="FFFFFF"/>
          <w:lang w:bidi="ar"/>
        </w:rPr>
        <w:t>标</w:t>
      </w:r>
      <w:r>
        <w:rPr>
          <w:szCs w:val="32"/>
          <w:shd w:val="clear" w:color="auto" w:fill="FFFFFF"/>
          <w:lang w:val="zh-TW" w:bidi="ar"/>
        </w:rPr>
        <w:t>提供有力要素支撑和坚实空间保障</w:t>
      </w:r>
      <w:r>
        <w:rPr>
          <w:rFonts w:hint="eastAsia" w:ascii="仿宋_GB2312" w:hAnsi="仿宋_GB2312" w:cs="仿宋_GB2312"/>
        </w:rPr>
        <w:t>。</w:t>
      </w:r>
    </w:p>
    <w:p>
      <w:pPr>
        <w:pStyle w:val="5"/>
        <w:numPr>
          <w:ilvl w:val="0"/>
          <w:numId w:val="5"/>
        </w:numPr>
        <w:spacing w:before="156" w:after="0" w:afterLines="0"/>
        <w:ind w:left="0" w:firstLine="640"/>
        <w:rPr>
          <w:lang w:val="zh-CN"/>
        </w:rPr>
      </w:pPr>
      <w:r>
        <w:rPr>
          <w:rFonts w:hint="eastAsia"/>
          <w:lang w:val="zh-CN"/>
        </w:rPr>
        <w:t>规划原则</w:t>
      </w:r>
    </w:p>
    <w:p>
      <w:pPr>
        <w:snapToGrid w:val="0"/>
        <w:ind w:firstLine="643"/>
        <w:rPr>
          <w:rFonts w:ascii="仿宋_GB2312" w:hAnsi="仿宋_GB2312" w:cs="仿宋_GB2312"/>
        </w:rPr>
      </w:pPr>
      <w:r>
        <w:rPr>
          <w:rFonts w:hint="eastAsia" w:ascii="仿宋_GB2312" w:hAnsi="仿宋_GB2312" w:cs="仿宋_GB2312"/>
          <w:b/>
          <w:bCs/>
        </w:rPr>
        <w:t>坚守底线，绿色发展。</w:t>
      </w:r>
      <w:r>
        <w:rPr>
          <w:rFonts w:hint="eastAsia" w:ascii="仿宋_GB2312" w:hAnsi="仿宋_GB2312" w:cs="仿宋_GB2312"/>
        </w:rPr>
        <w:t>严守安全底线和资源利用上限，落实最严格的耕地保护、生态环境保护和节约集约用地制度；实施全域山水林田湖草沙一体化保护和系统治理，促进人与自然和谐共生。</w:t>
      </w:r>
    </w:p>
    <w:p>
      <w:pPr>
        <w:snapToGrid w:val="0"/>
        <w:ind w:firstLine="643"/>
        <w:rPr>
          <w:rFonts w:ascii="仿宋_GB2312" w:hAnsi="仿宋_GB2312" w:cs="仿宋_GB2312"/>
        </w:rPr>
      </w:pPr>
      <w:r>
        <w:rPr>
          <w:rFonts w:hint="eastAsia" w:ascii="仿宋_GB2312" w:hAnsi="仿宋_GB2312" w:cs="仿宋_GB2312"/>
          <w:b/>
          <w:bCs/>
        </w:rPr>
        <w:t>统筹协调，开放发展。</w:t>
      </w:r>
      <w:r>
        <w:rPr>
          <w:rFonts w:hint="eastAsia" w:ascii="仿宋_GB2312" w:hAnsi="仿宋_GB2312" w:cs="仿宋_GB2312"/>
        </w:rPr>
        <w:t>落实国家、自治区重大战略，推动区域协调实施，以开放促发展，积极协调人、地、产关系，优化资源配置，形成主体功能明显、优势互补的国土空间新格局。</w:t>
      </w:r>
    </w:p>
    <w:p>
      <w:pPr>
        <w:snapToGrid w:val="0"/>
        <w:ind w:firstLine="643"/>
        <w:rPr>
          <w:rFonts w:ascii="仿宋_GB2312" w:hAnsi="仿宋_GB2312" w:cs="仿宋_GB2312"/>
        </w:rPr>
      </w:pPr>
      <w:r>
        <w:rPr>
          <w:rFonts w:hint="eastAsia" w:ascii="仿宋_GB2312" w:hAnsi="仿宋_GB2312" w:cs="仿宋_GB2312"/>
          <w:b/>
          <w:bCs/>
        </w:rPr>
        <w:t>以人为本，共享发展。</w:t>
      </w:r>
      <w:r>
        <w:rPr>
          <w:rFonts w:hint="eastAsia" w:ascii="仿宋_GB2312" w:hAnsi="仿宋_GB2312" w:cs="仿宋_GB2312"/>
        </w:rPr>
        <w:t>坚持人民至上，推动共谋、共建、共享、共治，改善人居环境，增强安全韧性，完善城乡基础设施和公共服务设施，实现城乡融合的高品质空间。</w:t>
      </w:r>
    </w:p>
    <w:p>
      <w:pPr>
        <w:snapToGrid w:val="0"/>
        <w:ind w:firstLine="643"/>
        <w:rPr>
          <w:rFonts w:ascii="仿宋_GB2312" w:hAnsi="仿宋_GB2312" w:cs="仿宋_GB2312"/>
        </w:rPr>
      </w:pPr>
      <w:r>
        <w:rPr>
          <w:rFonts w:hint="eastAsia" w:ascii="仿宋_GB2312" w:hAnsi="仿宋_GB2312" w:cs="仿宋_GB2312"/>
          <w:b/>
          <w:bCs/>
        </w:rPr>
        <w:t>传承文化，特色发展。</w:t>
      </w:r>
      <w:r>
        <w:rPr>
          <w:rFonts w:hint="eastAsia" w:ascii="仿宋_GB2312" w:hAnsi="仿宋_GB2312" w:cs="仿宋_GB2312"/>
        </w:rPr>
        <w:t>立足资源禀赋和发展需求，加强自然和历史文化资源保护利用，突出地域特征、传统特色和时代风貌，强化空间形态引导和管控，推动市域空间的特色化、差异化发展。</w:t>
      </w:r>
    </w:p>
    <w:p>
      <w:pPr>
        <w:pStyle w:val="2"/>
        <w:ind w:firstLine="643"/>
        <w:rPr>
          <w:rFonts w:ascii="仿宋_GB2312" w:hAnsi="仿宋_GB2312" w:cs="仿宋_GB2312"/>
        </w:rPr>
      </w:pPr>
      <w:r>
        <w:rPr>
          <w:rFonts w:hint="eastAsia" w:ascii="仿宋_GB2312" w:hAnsi="仿宋_GB2312" w:cs="仿宋_GB2312"/>
          <w:b/>
          <w:bCs/>
        </w:rPr>
        <w:t>因地制宜，完善管控。</w:t>
      </w:r>
      <w:r>
        <w:rPr>
          <w:rFonts w:hint="eastAsia" w:ascii="仿宋_GB2312" w:hAnsi="仿宋_GB2312" w:cs="仿宋_GB2312"/>
        </w:rPr>
        <w:t>结合地方历史文化特色、自然人文特点、城乡居民点现状等实际条件，合理确定不同类型空间开发保护目标、任务、引导与约束要求，完善管控规则。</w:t>
      </w:r>
    </w:p>
    <w:p>
      <w:pPr>
        <w:snapToGrid w:val="0"/>
        <w:ind w:firstLine="643"/>
        <w:rPr>
          <w:rFonts w:ascii="仿宋_GB2312" w:hAnsi="仿宋_GB2312" w:cs="仿宋_GB2312"/>
        </w:rPr>
      </w:pPr>
      <w:r>
        <w:rPr>
          <w:rFonts w:hint="eastAsia" w:ascii="仿宋_GB2312" w:hAnsi="仿宋_GB2312" w:cs="仿宋_GB2312"/>
          <w:b/>
          <w:bCs/>
        </w:rPr>
        <w:t>数字驱动，创新发展。</w:t>
      </w:r>
      <w:r>
        <w:rPr>
          <w:rFonts w:hint="eastAsia" w:ascii="仿宋_GB2312" w:hAnsi="仿宋_GB2312" w:cs="仿宋_GB2312"/>
        </w:rPr>
        <w:t>利用大数据、信息化等手段夯实规划基础，打造国土空间基础信息平台和“一张图”实施监督信息系统，推进空间治理体系和治理能力现代化。</w:t>
      </w:r>
      <w:bookmarkEnd w:id="61"/>
      <w:bookmarkEnd w:id="62"/>
    </w:p>
    <w:p>
      <w:pPr>
        <w:pStyle w:val="4"/>
        <w:numPr>
          <w:ilvl w:val="0"/>
          <w:numId w:val="6"/>
        </w:numPr>
        <w:spacing w:before="156" w:beforeLines="50" w:line="460" w:lineRule="exact"/>
        <w:ind w:left="0" w:firstLine="0"/>
      </w:pPr>
      <w:bookmarkStart w:id="63" w:name="_Toc26754"/>
      <w:bookmarkStart w:id="64" w:name="_Toc10066"/>
      <w:bookmarkStart w:id="65" w:name="_Toc6239"/>
      <w:bookmarkStart w:id="66" w:name="_Toc14676"/>
      <w:bookmarkStart w:id="67" w:name="_Toc6811"/>
      <w:bookmarkStart w:id="68" w:name="_Toc18773"/>
      <w:bookmarkStart w:id="69" w:name="_Toc3091_WPSOffice_Level2"/>
      <w:bookmarkStart w:id="70" w:name="_Toc16111"/>
      <w:bookmarkStart w:id="71" w:name="_Toc213018242"/>
      <w:bookmarkStart w:id="72" w:name="_Toc22665"/>
      <w:r>
        <w:rPr>
          <w:rFonts w:hint="eastAsia"/>
        </w:rPr>
        <w:t>城市定位与城市性质</w:t>
      </w:r>
      <w:bookmarkEnd w:id="60"/>
      <w:bookmarkEnd w:id="63"/>
      <w:bookmarkEnd w:id="64"/>
      <w:bookmarkEnd w:id="65"/>
      <w:bookmarkEnd w:id="66"/>
      <w:bookmarkEnd w:id="67"/>
      <w:bookmarkEnd w:id="68"/>
      <w:bookmarkEnd w:id="69"/>
      <w:bookmarkEnd w:id="70"/>
      <w:bookmarkEnd w:id="71"/>
      <w:bookmarkEnd w:id="72"/>
    </w:p>
    <w:p>
      <w:pPr>
        <w:pStyle w:val="5"/>
        <w:numPr>
          <w:ilvl w:val="0"/>
          <w:numId w:val="5"/>
        </w:numPr>
        <w:spacing w:before="156" w:after="0" w:afterLines="0"/>
        <w:ind w:left="0" w:firstLine="640"/>
        <w:rPr>
          <w:lang w:val="zh-CN"/>
        </w:rPr>
      </w:pPr>
      <w:r>
        <w:rPr>
          <w:rFonts w:hint="eastAsia"/>
          <w:lang w:val="zh-CN"/>
        </w:rPr>
        <w:t>城市定位</w:t>
      </w:r>
    </w:p>
    <w:p>
      <w:pPr>
        <w:snapToGrid w:val="0"/>
        <w:ind w:firstLine="643"/>
        <w:rPr>
          <w:rFonts w:ascii="仿宋_GB2312" w:hAnsi="仿宋_GB2312" w:cs="仿宋_GB2312"/>
        </w:rPr>
      </w:pPr>
      <w:r>
        <w:rPr>
          <w:rFonts w:hint="eastAsia" w:ascii="仿宋_GB2312" w:hAnsi="仿宋_GB2312" w:cs="仿宋_GB2312"/>
          <w:b/>
          <w:bCs/>
        </w:rPr>
        <w:t>广西东融先行示范区。</w:t>
      </w:r>
      <w:r>
        <w:rPr>
          <w:rFonts w:hint="eastAsia" w:ascii="仿宋_GB2312" w:hAnsi="仿宋_GB2312" w:cs="仿宋_GB2312"/>
        </w:rPr>
        <w:t>主动融入粤港澳大湾区建设，充分依托西部大开发、珠江—西江经济带、粤桂黔滇高铁经济带、桂粤两省区合作平台等载体，加快互联互通设施建设，高起点、全方位、多领域建设面向大湾区的开放门户，促进东部和中西部各类要素在贺州市交汇集聚，引领产业转型升级和科技创新，成为借力大湾区助推高质量绿色发展的全区示范、探索服务和融入大湾区有效路径的全区示范。</w:t>
      </w:r>
    </w:p>
    <w:p>
      <w:pPr>
        <w:pStyle w:val="5"/>
        <w:numPr>
          <w:ilvl w:val="0"/>
          <w:numId w:val="5"/>
        </w:numPr>
        <w:spacing w:before="156" w:after="0" w:afterLines="0"/>
        <w:ind w:left="0" w:firstLine="640"/>
        <w:rPr>
          <w:lang w:val="zh-CN"/>
        </w:rPr>
      </w:pPr>
      <w:r>
        <w:rPr>
          <w:rFonts w:hint="eastAsia"/>
          <w:lang w:val="zh-CN"/>
        </w:rPr>
        <w:t>城市性质</w:t>
      </w:r>
    </w:p>
    <w:p>
      <w:pPr>
        <w:ind w:firstLine="643"/>
        <w:rPr>
          <w:rFonts w:ascii="仿宋_GB2312" w:hAnsi="仿宋_GB2312" w:cs="仿宋_GB2312"/>
          <w:b/>
          <w:szCs w:val="30"/>
        </w:rPr>
      </w:pPr>
      <w:r>
        <w:rPr>
          <w:rFonts w:hint="eastAsia" w:ascii="仿宋_GB2312" w:hAnsi="仿宋_GB2312" w:cs="仿宋_GB2312"/>
          <w:b/>
          <w:szCs w:val="30"/>
        </w:rPr>
        <w:t>广西对接大湾区和中南地区的重要枢纽城市、桂东北新兴产业基地、长寿宜居的生态城市。</w:t>
      </w:r>
    </w:p>
    <w:p>
      <w:pPr>
        <w:pStyle w:val="4"/>
        <w:numPr>
          <w:ilvl w:val="0"/>
          <w:numId w:val="6"/>
        </w:numPr>
        <w:spacing w:before="312" w:beforeLines="100" w:line="460" w:lineRule="exact"/>
        <w:ind w:left="0" w:firstLine="0"/>
      </w:pPr>
      <w:bookmarkStart w:id="73" w:name="_Toc213018243"/>
      <w:bookmarkStart w:id="74" w:name="_Toc20249"/>
      <w:bookmarkStart w:id="75" w:name="_Toc18029"/>
      <w:bookmarkStart w:id="76" w:name="_Toc11029"/>
      <w:bookmarkStart w:id="77" w:name="_Toc28038"/>
      <w:bookmarkStart w:id="78" w:name="_Toc6121_WPSOffice_Level2"/>
      <w:bookmarkStart w:id="79" w:name="_Toc22175"/>
      <w:bookmarkStart w:id="80" w:name="_Toc10627"/>
      <w:bookmarkStart w:id="81" w:name="_Toc21782"/>
      <w:bookmarkStart w:id="82" w:name="_Toc31378"/>
      <w:bookmarkStart w:id="83" w:name="_Toc7358"/>
      <w:r>
        <w:rPr>
          <w:rFonts w:hint="eastAsia"/>
        </w:rPr>
        <w:t>规划目标与空间战略</w:t>
      </w:r>
      <w:bookmarkEnd w:id="73"/>
      <w:bookmarkEnd w:id="74"/>
      <w:bookmarkEnd w:id="75"/>
      <w:bookmarkEnd w:id="76"/>
      <w:bookmarkEnd w:id="77"/>
      <w:bookmarkEnd w:id="78"/>
      <w:bookmarkEnd w:id="79"/>
      <w:bookmarkEnd w:id="80"/>
      <w:bookmarkEnd w:id="81"/>
      <w:bookmarkEnd w:id="82"/>
      <w:bookmarkEnd w:id="83"/>
    </w:p>
    <w:p>
      <w:pPr>
        <w:pStyle w:val="5"/>
        <w:numPr>
          <w:ilvl w:val="0"/>
          <w:numId w:val="5"/>
        </w:numPr>
        <w:spacing w:before="156" w:after="0" w:afterLines="0"/>
        <w:ind w:left="0" w:firstLine="640"/>
        <w:rPr>
          <w:lang w:val="zh-CN"/>
        </w:rPr>
      </w:pPr>
      <w:r>
        <w:rPr>
          <w:rFonts w:hint="eastAsia"/>
          <w:lang w:val="zh-CN"/>
        </w:rPr>
        <w:t>规划目标</w:t>
      </w:r>
    </w:p>
    <w:p>
      <w:pPr>
        <w:widowControl/>
        <w:ind w:firstLine="643"/>
        <w:rPr>
          <w:rFonts w:ascii="仿宋_GB2312" w:hAnsi="仿宋_GB2312" w:cs="仿宋_GB2312"/>
          <w:kern w:val="0"/>
          <w:szCs w:val="30"/>
          <w:lang w:bidi="ar"/>
        </w:rPr>
      </w:pPr>
      <w:r>
        <w:rPr>
          <w:rFonts w:hint="eastAsia" w:ascii="仿宋_GB2312" w:hAnsi="仿宋_GB2312" w:cs="仿宋_GB2312"/>
          <w:b/>
          <w:szCs w:val="30"/>
        </w:rPr>
        <w:t>到2025年，贺州市</w:t>
      </w:r>
      <w:r>
        <w:rPr>
          <w:rFonts w:hint="eastAsia" w:ascii="仿宋_GB2312" w:hAnsi="仿宋_GB2312" w:cs="仿宋_GB2312"/>
          <w:b/>
          <w:szCs w:val="30"/>
          <w:lang w:bidi="ar"/>
        </w:rPr>
        <w:t>国土空间开发与保护的协调性大幅提升，</w:t>
      </w:r>
      <w:r>
        <w:rPr>
          <w:rFonts w:hint="eastAsia" w:ascii="仿宋_GB2312" w:hAnsi="仿宋_GB2312" w:cs="仿宋_GB2312"/>
          <w:b/>
          <w:szCs w:val="30"/>
        </w:rPr>
        <w:t>基本建成广西东融先行示范区。</w:t>
      </w:r>
      <w:r>
        <w:rPr>
          <w:rFonts w:hint="eastAsia" w:ascii="仿宋_GB2312" w:hAnsi="仿宋_GB2312" w:cs="仿宋_GB2312"/>
          <w:kern w:val="0"/>
          <w:szCs w:val="30"/>
          <w:lang w:bidi="ar"/>
        </w:rPr>
        <w:t>守住粮食安全底线，稳固南岭生态安全屏障，生态产品价值实现试点示范卓有成效，区域协调、城乡融合、乡村振兴取得新进展，空间治理体系基本健全，为新时代东融高质量发展提供持续可靠的资源和空间保障，基本实现“赶超跨越、开创新局”的发展目标。</w:t>
      </w:r>
    </w:p>
    <w:p>
      <w:pPr>
        <w:widowControl/>
        <w:ind w:firstLine="643"/>
        <w:rPr>
          <w:rFonts w:ascii="仿宋_GB2312" w:hAnsi="仿宋_GB2312" w:cs="仿宋_GB2312"/>
        </w:rPr>
      </w:pPr>
      <w:r>
        <w:rPr>
          <w:rFonts w:hint="eastAsia" w:ascii="仿宋_GB2312" w:hAnsi="仿宋_GB2312" w:cs="仿宋_GB2312"/>
          <w:b/>
          <w:szCs w:val="30"/>
        </w:rPr>
        <w:t>到2035年，</w:t>
      </w:r>
      <w:r>
        <w:rPr>
          <w:rFonts w:hint="eastAsia" w:ascii="仿宋_GB2312" w:hAnsi="仿宋_GB2312" w:cs="仿宋_GB2312"/>
          <w:b/>
          <w:bCs/>
          <w:kern w:val="0"/>
          <w:szCs w:val="30"/>
          <w:lang w:bidi="ar"/>
        </w:rPr>
        <w:t>全面建成与社会主义现代化相适应的高质量、高品质绿色国土格局</w:t>
      </w:r>
      <w:r>
        <w:rPr>
          <w:rFonts w:hint="eastAsia" w:ascii="仿宋_GB2312" w:hAnsi="仿宋_GB2312" w:cs="仿宋_GB2312"/>
          <w:b/>
          <w:szCs w:val="30"/>
        </w:rPr>
        <w:t>。</w:t>
      </w:r>
      <w:r>
        <w:rPr>
          <w:rFonts w:hint="eastAsia" w:ascii="仿宋_GB2312" w:hAnsi="仿宋_GB2312" w:cs="仿宋_GB2312"/>
          <w:kern w:val="0"/>
          <w:szCs w:val="30"/>
          <w:lang w:bidi="ar"/>
        </w:rPr>
        <w:t>粮食安全基础更加稳固，南岭生态安全屏障更加牢固，生态环境质量持续处于全国全区领先水平，多中心网络化的城镇体系基本建成。全面融入粤港澳大湾区发展，产业空间的创新驱动能力明显增强，经济总量跻身全区发展中等水平。乡村振兴取得决定性进展，历史文化与自然景观网络建设彰显成效，城乡面貌得到根本改观，基本公共服务实现均等化，资源要素配置更趋合理。土地节约集约利用水平不断提升，国土空间治理现代化水平显著提高。</w:t>
      </w:r>
    </w:p>
    <w:p>
      <w:pPr>
        <w:widowControl/>
        <w:ind w:firstLine="640"/>
        <w:rPr>
          <w:rFonts w:ascii="仿宋_GB2312" w:hAnsi="仿宋_GB2312" w:cs="仿宋_GB2312"/>
          <w:kern w:val="0"/>
          <w:szCs w:val="30"/>
          <w:lang w:bidi="ar"/>
        </w:rPr>
      </w:pPr>
      <w:r>
        <w:rPr>
          <w:rFonts w:hint="eastAsia" w:ascii="仿宋_GB2312" w:hAnsi="仿宋_GB2312" w:cs="仿宋_GB2312"/>
          <w:szCs w:val="30"/>
        </w:rPr>
        <w:t>到2050年</w:t>
      </w:r>
      <w:r>
        <w:rPr>
          <w:rFonts w:hint="eastAsia" w:ascii="仿宋_GB2312" w:hAnsi="仿宋_GB2312" w:cs="仿宋_GB2312"/>
          <w:kern w:val="0"/>
          <w:szCs w:val="30"/>
          <w:lang w:bidi="ar"/>
        </w:rPr>
        <w:t>，国土空间开发利用与生态环境承载能力、国土开发适宜性高度匹配，历史文化与自然景观网络建设成就突出，总体发展达到全区中上水平，各项基本民生保障实现与全区同步，生态可持续与高质量发展的国土空间建设具有全国影响力。</w:t>
      </w:r>
    </w:p>
    <w:p>
      <w:pPr>
        <w:pStyle w:val="5"/>
        <w:numPr>
          <w:ilvl w:val="0"/>
          <w:numId w:val="5"/>
        </w:numPr>
        <w:spacing w:before="156" w:after="0" w:afterLines="0"/>
        <w:ind w:left="0" w:firstLine="640"/>
        <w:rPr>
          <w:lang w:val="zh-CN"/>
        </w:rPr>
      </w:pPr>
      <w:r>
        <w:rPr>
          <w:rFonts w:hint="eastAsia"/>
          <w:lang w:val="zh-CN"/>
        </w:rPr>
        <w:t>空间战略</w:t>
      </w:r>
    </w:p>
    <w:p>
      <w:pPr>
        <w:pStyle w:val="2"/>
        <w:ind w:firstLine="643"/>
        <w:rPr>
          <w:rFonts w:ascii="仿宋_GB2312" w:hAnsi="仿宋_GB2312" w:cs="仿宋_GB2312"/>
        </w:rPr>
      </w:pPr>
      <w:r>
        <w:rPr>
          <w:rFonts w:hint="eastAsia" w:ascii="仿宋_GB2312" w:hAnsi="仿宋_GB2312" w:cs="仿宋_GB2312"/>
          <w:b/>
        </w:rPr>
        <w:t>底线安全。</w:t>
      </w:r>
      <w:r>
        <w:rPr>
          <w:rFonts w:hint="eastAsia" w:ascii="仿宋_GB2312" w:hAnsi="仿宋_GB2312" w:cs="仿宋_GB2312"/>
        </w:rPr>
        <w:t>落实最严格的耕地保护制度，全面划定永久基本农田，严守耕地保护目标；严守生态安全底线，科学划定生态保护红线，构建自然保护地体系；保障重大能源设施用地，提高能源稳定供应和风险管控能力；完善防灾减灾救灾体系，增强应对洪涝灾害和重大公共卫生事件等风险能力，严格管控危险品生产与运输，建设安全韧性城市。</w:t>
      </w:r>
    </w:p>
    <w:p>
      <w:pPr>
        <w:ind w:firstLine="643"/>
        <w:rPr>
          <w:rFonts w:ascii="仿宋_GB2312" w:hAnsi="仿宋_GB2312" w:cs="仿宋_GB2312"/>
        </w:rPr>
      </w:pPr>
      <w:r>
        <w:rPr>
          <w:rFonts w:hint="eastAsia" w:ascii="仿宋_GB2312" w:hAnsi="仿宋_GB2312" w:cs="仿宋_GB2312"/>
          <w:b/>
        </w:rPr>
        <w:t>强东联西。</w:t>
      </w:r>
      <w:r>
        <w:rPr>
          <w:rFonts w:hint="eastAsia" w:ascii="仿宋_GB2312" w:hAnsi="仿宋_GB2312" w:cs="仿宋_GB2312"/>
        </w:rPr>
        <w:t>重点加快向东开放步伐，提升与粤港澳大湾区、西部陆海新通道、珠江—西江经济带、长江经济带通达水平；精准对接大湾区核心城市的产业外溢需求，强化区内多方位的产业合作；积极融入桂林旅游产业及旅游服务设施一体化发展，成为全区全方位开放发展新格局的重要节点。</w:t>
      </w:r>
    </w:p>
    <w:p>
      <w:pPr>
        <w:widowControl/>
        <w:ind w:firstLine="643"/>
        <w:rPr>
          <w:rFonts w:ascii="仿宋_GB2312" w:hAnsi="仿宋_GB2312" w:cs="仿宋_GB2312"/>
        </w:rPr>
      </w:pPr>
      <w:r>
        <w:rPr>
          <w:rFonts w:hint="eastAsia" w:ascii="仿宋_GB2312" w:hAnsi="仿宋_GB2312" w:cs="仿宋_GB2312"/>
          <w:b/>
        </w:rPr>
        <w:t>绿色转型。</w:t>
      </w:r>
      <w:r>
        <w:rPr>
          <w:rFonts w:hint="eastAsia" w:ascii="仿宋_GB2312" w:hAnsi="仿宋_GB2312" w:cs="仿宋_GB2312"/>
        </w:rPr>
        <w:t>坚持绿水青山就是金山银山的理念，不断提升碳汇能力，打通生态价值转换通道，建设昭平县生态价值实现试点县；构建现代农业体系，促进一二三产</w:t>
      </w:r>
      <w:r>
        <w:rPr>
          <w:rFonts w:hint="eastAsia" w:ascii="仿宋_GB2312" w:hAnsi="仿宋_GB2312" w:cs="仿宋_GB2312"/>
          <w:lang w:eastAsia="zh-CN"/>
        </w:rPr>
        <w:t>业</w:t>
      </w:r>
      <w:bookmarkStart w:id="661" w:name="_GoBack"/>
      <w:bookmarkEnd w:id="661"/>
      <w:r>
        <w:rPr>
          <w:rFonts w:hint="eastAsia" w:ascii="仿宋_GB2312" w:hAnsi="仿宋_GB2312" w:cs="仿宋_GB2312"/>
        </w:rPr>
        <w:t>融合发展，打造粤港澳大湾区绿色农产品供应基地；保障高新区与各类开发区的空间需求，优化空间布局与要素配置，实现传统产业高端化、智能化、绿色化。</w:t>
      </w:r>
    </w:p>
    <w:p>
      <w:pPr>
        <w:ind w:firstLine="643"/>
        <w:rPr>
          <w:rFonts w:ascii="仿宋_GB2312" w:hAnsi="仿宋_GB2312" w:cs="仿宋_GB2312"/>
        </w:rPr>
      </w:pPr>
      <w:r>
        <w:rPr>
          <w:rFonts w:hint="eastAsia" w:ascii="仿宋_GB2312" w:hAnsi="仿宋_GB2312" w:cs="仿宋_GB2312"/>
          <w:b/>
        </w:rPr>
        <w:t>精明高效。</w:t>
      </w:r>
      <w:r>
        <w:rPr>
          <w:rFonts w:hint="eastAsia" w:ascii="仿宋_GB2312" w:hAnsi="仿宋_GB2312" w:cs="仿宋_GB2312"/>
        </w:rPr>
        <w:t>以落实主体功能区与资源环境承载力为基础，稳定优化农业发展，严格保护生态系统，节约集约利用城乡建设用地。持续以多中心空间布局进行用地优化配置，重点打造各副中心级重点产业平台，结合提高工业园区的用地效率，在有限的空间内实现高效增长。</w:t>
      </w:r>
    </w:p>
    <w:p>
      <w:pPr>
        <w:ind w:firstLine="643"/>
        <w:rPr>
          <w:rFonts w:ascii="仿宋_GB2312" w:hAnsi="仿宋_GB2312" w:cs="仿宋_GB2312"/>
          <w:b/>
        </w:rPr>
      </w:pPr>
      <w:r>
        <w:rPr>
          <w:rFonts w:hint="eastAsia" w:ascii="仿宋_GB2312" w:hAnsi="仿宋_GB2312" w:cs="仿宋_GB2312"/>
          <w:b/>
          <w:bCs/>
        </w:rPr>
        <w:t>魅力潇贺</w:t>
      </w:r>
      <w:r>
        <w:rPr>
          <w:rFonts w:hint="eastAsia" w:ascii="仿宋_GB2312" w:hAnsi="仿宋_GB2312" w:cs="仿宋_GB2312"/>
          <w:b/>
        </w:rPr>
        <w:t>。</w:t>
      </w:r>
      <w:r>
        <w:rPr>
          <w:rFonts w:hint="eastAsia" w:ascii="仿宋_GB2312" w:hAnsi="仿宋_GB2312" w:cs="仿宋_GB2312"/>
        </w:rPr>
        <w:t>积极利用潇贺古道文化及多民族融合文化的发展潜力，强化自然与人文资源融合；提升城市宜居度，彰显独特气质，构建蓝绿开敞空间系统；以新型城镇化带动城乡融合，有序开展乡村规划和建设，全面提升乡村风貌和宜居水平，构筑独具潇贺风情的魅力空间。</w:t>
      </w:r>
    </w:p>
    <w:p>
      <w:pPr>
        <w:pStyle w:val="3"/>
        <w:keepNext w:val="0"/>
        <w:widowControl/>
        <w:numPr>
          <w:ilvl w:val="0"/>
          <w:numId w:val="3"/>
        </w:numPr>
        <w:autoSpaceDE w:val="0"/>
        <w:autoSpaceDN w:val="0"/>
        <w:rPr>
          <w:rFonts w:ascii="方正小标宋_GBK" w:hAnsi="方正小标宋_GBK" w:cs="方正小标宋_GBK"/>
          <w:szCs w:val="36"/>
          <w:lang w:val="zh-CN"/>
        </w:rPr>
        <w:sectPr>
          <w:pgSz w:w="11906" w:h="16838"/>
          <w:pgMar w:top="1418" w:right="1474" w:bottom="1985" w:left="1588" w:header="0" w:footer="1588" w:gutter="0"/>
          <w:cols w:space="425" w:num="1"/>
          <w:docGrid w:type="lines" w:linePitch="312" w:charSpace="0"/>
        </w:sectPr>
      </w:pPr>
      <w:bookmarkStart w:id="84" w:name="_Toc32188"/>
      <w:bookmarkStart w:id="85" w:name="_Toc27470"/>
      <w:bookmarkStart w:id="86" w:name="_Toc5153"/>
      <w:bookmarkStart w:id="87" w:name="_Toc12762"/>
      <w:bookmarkStart w:id="88" w:name="_Toc4386"/>
      <w:bookmarkStart w:id="89" w:name="_Toc13515"/>
      <w:bookmarkStart w:id="90" w:name="_Toc9706"/>
      <w:bookmarkStart w:id="91" w:name="_Toc16190"/>
    </w:p>
    <w:p>
      <w:pPr>
        <w:pStyle w:val="3"/>
        <w:keepNext w:val="0"/>
        <w:widowControl/>
        <w:numPr>
          <w:ilvl w:val="0"/>
          <w:numId w:val="3"/>
        </w:numPr>
        <w:autoSpaceDE w:val="0"/>
        <w:autoSpaceDN w:val="0"/>
        <w:rPr>
          <w:rFonts w:ascii="方正小标宋_GBK" w:hAnsi="方正小标宋_GBK" w:cs="方正小标宋_GBK"/>
          <w:szCs w:val="36"/>
          <w:lang w:val="zh-CN"/>
        </w:rPr>
      </w:pPr>
      <w:r>
        <w:fldChar w:fldCharType="begin"/>
      </w:r>
      <w:r>
        <w:instrText xml:space="preserve"> HYPERLINK \l "_Toc27524" </w:instrText>
      </w:r>
      <w:r>
        <w:fldChar w:fldCharType="separate"/>
      </w:r>
      <w:bookmarkStart w:id="92" w:name="_Toc213018244"/>
      <w:bookmarkStart w:id="93" w:name="_Toc9034_WPSOffice_Level1"/>
      <w:r>
        <w:rPr>
          <w:rFonts w:hint="eastAsia" w:ascii="方正小标宋_GBK" w:hAnsi="方正小标宋_GBK" w:cs="方正小标宋_GBK"/>
          <w:szCs w:val="36"/>
          <w:lang w:val="zh-CN"/>
        </w:rPr>
        <w:t>国土空间开发保护总体格局</w:t>
      </w:r>
      <w:bookmarkEnd w:id="92"/>
      <w:bookmarkEnd w:id="93"/>
      <w:r>
        <w:rPr>
          <w:rFonts w:hint="eastAsia" w:ascii="方正小标宋_GBK" w:hAnsi="方正小标宋_GBK" w:cs="方正小标宋_GBK"/>
          <w:szCs w:val="36"/>
          <w:lang w:val="zh-CN"/>
        </w:rPr>
        <w:fldChar w:fldCharType="end"/>
      </w:r>
      <w:bookmarkEnd w:id="84"/>
      <w:bookmarkEnd w:id="85"/>
      <w:bookmarkEnd w:id="86"/>
      <w:bookmarkEnd w:id="87"/>
      <w:bookmarkEnd w:id="88"/>
      <w:bookmarkEnd w:id="89"/>
      <w:bookmarkEnd w:id="90"/>
      <w:bookmarkEnd w:id="91"/>
    </w:p>
    <w:p>
      <w:pPr>
        <w:pStyle w:val="4"/>
        <w:numPr>
          <w:ilvl w:val="0"/>
          <w:numId w:val="7"/>
        </w:numPr>
        <w:spacing w:before="156" w:beforeLines="50" w:line="460" w:lineRule="exact"/>
        <w:ind w:left="0" w:firstLine="0"/>
      </w:pPr>
      <w:bookmarkStart w:id="94" w:name="_Toc26436"/>
      <w:bookmarkStart w:id="95" w:name="_Toc3666"/>
      <w:bookmarkStart w:id="96" w:name="_Toc3316"/>
      <w:bookmarkStart w:id="97" w:name="_Toc3444_WPSOffice_Level2"/>
      <w:bookmarkStart w:id="98" w:name="_Toc16991"/>
      <w:bookmarkStart w:id="99" w:name="_Toc22677"/>
      <w:bookmarkStart w:id="100" w:name="_Toc213018245"/>
      <w:bookmarkStart w:id="101" w:name="_Toc26427"/>
      <w:bookmarkStart w:id="102" w:name="_Toc16045"/>
      <w:bookmarkStart w:id="103" w:name="_Toc10374"/>
      <w:r>
        <w:rPr>
          <w:rFonts w:hint="eastAsia"/>
        </w:rPr>
        <w:t>三条控制线</w:t>
      </w:r>
      <w:bookmarkEnd w:id="94"/>
      <w:bookmarkEnd w:id="95"/>
      <w:bookmarkEnd w:id="96"/>
      <w:bookmarkEnd w:id="97"/>
      <w:bookmarkEnd w:id="98"/>
      <w:bookmarkEnd w:id="99"/>
      <w:bookmarkEnd w:id="100"/>
      <w:bookmarkEnd w:id="101"/>
    </w:p>
    <w:bookmarkEnd w:id="102"/>
    <w:bookmarkEnd w:id="103"/>
    <w:p>
      <w:pPr>
        <w:pStyle w:val="5"/>
        <w:numPr>
          <w:ilvl w:val="0"/>
          <w:numId w:val="5"/>
        </w:numPr>
        <w:spacing w:before="156" w:after="0" w:afterLines="0"/>
        <w:ind w:left="0" w:firstLine="640"/>
        <w:rPr>
          <w:lang w:val="zh-CN"/>
        </w:rPr>
      </w:pPr>
      <w:r>
        <w:rPr>
          <w:rFonts w:hint="eastAsia"/>
          <w:lang w:val="zh-CN"/>
        </w:rPr>
        <w:t>统筹划定原则</w:t>
      </w:r>
    </w:p>
    <w:p>
      <w:pPr>
        <w:ind w:firstLine="643"/>
        <w:rPr>
          <w:rFonts w:ascii="仿宋_GB2312" w:hAnsi="仿宋_GB2312" w:cs="仿宋_GB2312"/>
          <w:szCs w:val="30"/>
        </w:rPr>
      </w:pPr>
      <w:r>
        <w:rPr>
          <w:rFonts w:hint="eastAsia" w:ascii="仿宋_GB2312" w:hAnsi="仿宋_GB2312" w:cs="仿宋_GB2312"/>
          <w:b/>
          <w:bCs/>
          <w:szCs w:val="30"/>
        </w:rPr>
        <w:t>坚持落实耕地和永久基本农田、生态保护红线、城镇开发边界的优先序。</w:t>
      </w:r>
      <w:r>
        <w:rPr>
          <w:rFonts w:hint="eastAsia" w:ascii="仿宋_GB2312" w:hAnsi="仿宋_GB2312" w:cs="仿宋_GB2312"/>
          <w:szCs w:val="30"/>
        </w:rPr>
        <w:t>统筹划定落实三条控制线，确保三条控制线不交叉不重叠不冲突。以三条控制线分别围合的空间作为重点管控区域，在国土空间管控指标约束下，统筹优化农业、生态、城镇等各类空间布局。</w:t>
      </w:r>
    </w:p>
    <w:p>
      <w:pPr>
        <w:pStyle w:val="5"/>
        <w:numPr>
          <w:ilvl w:val="0"/>
          <w:numId w:val="5"/>
        </w:numPr>
        <w:spacing w:before="156" w:after="0" w:afterLines="0"/>
        <w:ind w:left="0" w:firstLine="640"/>
        <w:rPr>
          <w:lang w:val="zh-CN"/>
        </w:rPr>
      </w:pPr>
      <w:r>
        <w:rPr>
          <w:rFonts w:hint="eastAsia"/>
          <w:lang w:val="zh-CN"/>
        </w:rPr>
        <w:t>耕地和永久基本农田保护红线</w:t>
      </w:r>
    </w:p>
    <w:p>
      <w:pPr>
        <w:ind w:firstLine="643"/>
        <w:rPr>
          <w:rFonts w:ascii="仿宋_GB2312" w:hAnsi="仿宋_GB2312" w:cs="仿宋_GB2312"/>
          <w:szCs w:val="30"/>
        </w:rPr>
      </w:pPr>
      <w:r>
        <w:rPr>
          <w:rFonts w:hint="eastAsia" w:ascii="仿宋_GB2312" w:hAnsi="仿宋_GB2312" w:cs="仿宋_GB2312"/>
          <w:b/>
          <w:bCs/>
          <w:szCs w:val="30"/>
        </w:rPr>
        <w:t>优先划定耕地和永久基本农田保护红线。</w:t>
      </w:r>
      <w:r>
        <w:rPr>
          <w:rFonts w:hint="eastAsia" w:ascii="仿宋_GB2312" w:hAnsi="仿宋_GB2312" w:cs="仿宋_GB2312"/>
          <w:szCs w:val="30"/>
        </w:rPr>
        <w:t>现状耕地应划尽划，应保尽保，优先确定耕地保护目标，将可以长期利用的稳定耕地优先划入永久基本农田实行特殊保护，带位置落实耕地与永久基本农田保护任务。</w:t>
      </w:r>
      <w:r>
        <w:rPr>
          <w:rFonts w:hint="eastAsia" w:ascii="仿宋_GB2312" w:hAnsi="仿宋_GB2312" w:cs="仿宋_GB2312"/>
          <w:b/>
          <w:bCs/>
          <w:szCs w:val="30"/>
          <w:u w:val="single"/>
        </w:rPr>
        <w:t>到2035年，全市耕地保有量不低于</w:t>
      </w:r>
      <w:r>
        <w:rPr>
          <w:rFonts w:hint="eastAsia" w:ascii="仿宋_GB2312" w:hAnsi="仿宋_GB2312" w:cs="仿宋_GB2312"/>
          <w:b/>
          <w:bCs/>
          <w:szCs w:val="30"/>
          <w:u w:val="single"/>
          <w:lang w:bidi="ar"/>
        </w:rPr>
        <w:t>172.35</w:t>
      </w:r>
      <w:r>
        <w:rPr>
          <w:rFonts w:hint="eastAsia" w:ascii="仿宋_GB2312" w:hAnsi="仿宋_GB2312" w:cs="仿宋_GB2312"/>
          <w:b/>
          <w:bCs/>
          <w:szCs w:val="30"/>
          <w:u w:val="single"/>
        </w:rPr>
        <w:t>万亩，永久基本农田保护面积不低于</w:t>
      </w:r>
      <w:r>
        <w:rPr>
          <w:rFonts w:hint="eastAsia" w:ascii="仿宋_GB2312" w:hAnsi="仿宋_GB2312" w:cs="仿宋_GB2312"/>
          <w:b/>
          <w:bCs/>
          <w:szCs w:val="30"/>
          <w:u w:val="single"/>
          <w:lang w:bidi="ar"/>
        </w:rPr>
        <w:t>154.77万亩</w:t>
      </w:r>
      <w:r>
        <w:rPr>
          <w:rFonts w:hint="eastAsia" w:ascii="仿宋_GB2312" w:hAnsi="仿宋_GB2312" w:cs="仿宋_GB2312"/>
          <w:b/>
          <w:bCs/>
          <w:szCs w:val="30"/>
          <w:u w:val="single"/>
        </w:rPr>
        <w:t>。</w:t>
      </w:r>
      <w:r>
        <w:rPr>
          <w:rFonts w:hint="eastAsia" w:ascii="仿宋_GB2312" w:hAnsi="仿宋_GB2312" w:cs="仿宋_GB2312"/>
          <w:szCs w:val="30"/>
        </w:rPr>
        <w:t>主要分布在信都平原、桂岭盆地、富川平原、八步盆地等区域。</w:t>
      </w:r>
    </w:p>
    <w:p>
      <w:pPr>
        <w:pStyle w:val="5"/>
        <w:numPr>
          <w:ilvl w:val="0"/>
          <w:numId w:val="5"/>
        </w:numPr>
        <w:spacing w:before="156" w:after="0" w:afterLines="0"/>
        <w:ind w:left="0" w:firstLine="640"/>
        <w:rPr>
          <w:lang w:val="zh-CN"/>
        </w:rPr>
      </w:pPr>
      <w:r>
        <w:rPr>
          <w:rFonts w:hint="eastAsia"/>
          <w:lang w:val="zh-CN"/>
        </w:rPr>
        <w:t>生态保护红线</w:t>
      </w:r>
    </w:p>
    <w:p>
      <w:pPr>
        <w:ind w:firstLine="643"/>
        <w:rPr>
          <w:rFonts w:ascii="仿宋_GB2312" w:hAnsi="仿宋_GB2312" w:cs="仿宋_GB2312"/>
          <w:szCs w:val="30"/>
        </w:rPr>
      </w:pPr>
      <w:r>
        <w:rPr>
          <w:rFonts w:hint="eastAsia" w:ascii="仿宋_GB2312" w:hAnsi="仿宋_GB2312" w:cs="仿宋_GB2312"/>
          <w:b/>
          <w:szCs w:val="30"/>
        </w:rPr>
        <w:t>科学划定生态保护红线。</w:t>
      </w:r>
      <w:r>
        <w:rPr>
          <w:rFonts w:hint="eastAsia" w:ascii="仿宋_GB2312" w:hAnsi="仿宋_GB2312" w:cs="仿宋_GB2312"/>
          <w:szCs w:val="30"/>
        </w:rPr>
        <w:t>落实自治区生态保护红线管控目标，按照“实事求是，客观科学，保护优先”的原则划定生态保护红线。</w:t>
      </w:r>
      <w:r>
        <w:rPr>
          <w:rFonts w:hint="eastAsia" w:ascii="仿宋_GB2312" w:hAnsi="仿宋_GB2312" w:cs="仿宋_GB2312"/>
          <w:b/>
          <w:bCs/>
          <w:szCs w:val="30"/>
          <w:u w:val="single"/>
        </w:rPr>
        <w:t>到2035年，</w:t>
      </w:r>
      <w:r>
        <w:rPr>
          <w:rFonts w:hint="eastAsia" w:ascii="仿宋_GB2312" w:hAnsi="仿宋_GB2312" w:cs="仿宋_GB2312"/>
          <w:b/>
          <w:szCs w:val="30"/>
          <w:u w:val="single"/>
        </w:rPr>
        <w:t>全市生态保护红线面积不低于1918.14平方千米，占全市总面积的16.32%。</w:t>
      </w:r>
      <w:r>
        <w:rPr>
          <w:rFonts w:hint="eastAsia" w:ascii="仿宋_GB2312" w:hAnsi="仿宋_GB2312" w:cs="仿宋_GB2312"/>
          <w:szCs w:val="30"/>
        </w:rPr>
        <w:t>重点分布在姑婆山山脉、大桂山山脉、西岭山山脉等生态重要区域。</w:t>
      </w:r>
    </w:p>
    <w:p>
      <w:pPr>
        <w:pStyle w:val="4"/>
        <w:numPr>
          <w:ilvl w:val="0"/>
          <w:numId w:val="7"/>
        </w:numPr>
        <w:spacing w:before="156" w:beforeLines="50" w:line="460" w:lineRule="exact"/>
        <w:ind w:left="0" w:firstLine="0"/>
      </w:pPr>
      <w:bookmarkStart w:id="104" w:name="_Toc12230"/>
      <w:bookmarkStart w:id="105" w:name="_Toc26703"/>
      <w:bookmarkStart w:id="106" w:name="_Toc17560"/>
      <w:bookmarkStart w:id="107" w:name="_Toc23437"/>
      <w:bookmarkStart w:id="108" w:name="_Toc23094"/>
      <w:bookmarkStart w:id="109" w:name="_Toc213018246"/>
      <w:bookmarkStart w:id="110" w:name="_Toc13419"/>
      <w:bookmarkStart w:id="111" w:name="_Toc32729_WPSOffice_Level2"/>
      <w:bookmarkStart w:id="112" w:name="_Toc29280"/>
      <w:bookmarkStart w:id="113" w:name="_Toc21615"/>
      <w:r>
        <w:rPr>
          <w:rFonts w:hint="eastAsia"/>
        </w:rPr>
        <w:t>开发保护新格局</w:t>
      </w:r>
      <w:bookmarkEnd w:id="104"/>
      <w:bookmarkEnd w:id="105"/>
      <w:bookmarkEnd w:id="106"/>
      <w:bookmarkEnd w:id="107"/>
      <w:bookmarkEnd w:id="108"/>
      <w:bookmarkEnd w:id="109"/>
      <w:bookmarkEnd w:id="110"/>
      <w:bookmarkEnd w:id="111"/>
      <w:bookmarkEnd w:id="112"/>
      <w:bookmarkEnd w:id="113"/>
    </w:p>
    <w:p>
      <w:pPr>
        <w:pStyle w:val="5"/>
        <w:numPr>
          <w:ilvl w:val="0"/>
          <w:numId w:val="5"/>
        </w:numPr>
        <w:spacing w:before="156" w:after="0" w:afterLines="0"/>
        <w:ind w:left="0" w:firstLine="640"/>
        <w:rPr>
          <w:lang w:val="zh-CN"/>
        </w:rPr>
      </w:pPr>
      <w:r>
        <w:rPr>
          <w:rFonts w:hint="eastAsia"/>
          <w:lang w:val="zh-CN"/>
        </w:rPr>
        <w:t>主体功能区划</w:t>
      </w:r>
    </w:p>
    <w:p>
      <w:pPr>
        <w:ind w:firstLine="643"/>
        <w:rPr>
          <w:rFonts w:ascii="仿宋_GB2312" w:hAnsi="仿宋_GB2312" w:cs="仿宋_GB2312"/>
          <w:szCs w:val="30"/>
        </w:rPr>
      </w:pPr>
      <w:r>
        <w:rPr>
          <w:rFonts w:hint="eastAsia" w:ascii="仿宋_GB2312" w:hAnsi="仿宋_GB2312" w:cs="仿宋_GB2312"/>
          <w:b/>
          <w:bCs/>
        </w:rPr>
        <w:t>落实和细化主体功能区划</w:t>
      </w:r>
      <w:r>
        <w:rPr>
          <w:rFonts w:hint="eastAsia" w:ascii="仿宋_GB2312" w:hAnsi="仿宋_GB2312" w:cs="仿宋_GB2312"/>
          <w:b/>
          <w:szCs w:val="30"/>
        </w:rPr>
        <w:t>。</w:t>
      </w:r>
      <w:r>
        <w:rPr>
          <w:rFonts w:hint="eastAsia" w:ascii="仿宋_GB2312" w:hAnsi="仿宋_GB2312" w:cs="仿宋_GB2312"/>
          <w:szCs w:val="30"/>
        </w:rPr>
        <w:t>落实自治区确定的贺州市各县（区）主体功能战略，将八步区、平桂区划为城市化地区，钟山县划为农产品主产区，昭平县、富川瑶族自治县划为重点生态功能区。</w:t>
      </w:r>
      <w:r>
        <w:rPr>
          <w:rFonts w:hint="eastAsia" w:ascii="仿宋_GB2312" w:hAnsi="仿宋_GB2312" w:cs="仿宋_GB2312"/>
          <w:bCs/>
          <w:szCs w:val="30"/>
        </w:rPr>
        <w:t>统筹细化以乡镇为单元的主体功能类型，</w:t>
      </w:r>
      <w:r>
        <w:rPr>
          <w:rFonts w:hint="eastAsia" w:ascii="仿宋_GB2312" w:hAnsi="仿宋_GB2312" w:cs="仿宋_GB2312"/>
          <w:szCs w:val="30"/>
        </w:rPr>
        <w:t>按照整体稳定、局部细化原则，将全市61个乡镇（街道）细化为14个农产品主产区、24个重点生态功能区和23个城市化地区。</w:t>
      </w:r>
    </w:p>
    <w:p>
      <w:pPr>
        <w:ind w:firstLine="643"/>
        <w:rPr>
          <w:rFonts w:ascii="仿宋_GB2312" w:hAnsi="仿宋_GB2312" w:cs="仿宋_GB2312"/>
          <w:b/>
          <w:szCs w:val="30"/>
        </w:rPr>
      </w:pPr>
      <w:r>
        <w:rPr>
          <w:rFonts w:hint="eastAsia" w:ascii="仿宋_GB2312" w:hAnsi="仿宋_GB2312" w:cs="仿宋_GB2312"/>
          <w:b/>
          <w:szCs w:val="30"/>
        </w:rPr>
        <w:t>实施差别化管控。</w:t>
      </w:r>
      <w:r>
        <w:rPr>
          <w:rFonts w:hint="eastAsia" w:ascii="仿宋_GB2312" w:hAnsi="仿宋_GB2312" w:cs="仿宋_GB2312"/>
          <w:szCs w:val="30"/>
        </w:rPr>
        <w:t>按照主导功能定位和空间治理要求，对分区及叠加功能、特色名录提出实施差别化管控政策措施，促进主体功能区战略和制度精准落地。</w:t>
      </w:r>
    </w:p>
    <w:p>
      <w:pPr>
        <w:widowControl/>
        <w:ind w:firstLine="643"/>
        <w:rPr>
          <w:rFonts w:ascii="仿宋_GB2312" w:hAnsi="仿宋_GB2312" w:cs="仿宋_GB2312"/>
          <w:b/>
          <w:szCs w:val="30"/>
        </w:rPr>
      </w:pPr>
      <w:r>
        <w:rPr>
          <w:rFonts w:hint="eastAsia" w:ascii="仿宋_GB2312" w:hAnsi="仿宋_GB2312" w:cs="仿宋_GB2312"/>
          <w:b/>
          <w:szCs w:val="30"/>
        </w:rPr>
        <w:t>——农产品主产区</w:t>
      </w:r>
      <w:r>
        <w:rPr>
          <w:rFonts w:hint="eastAsia" w:ascii="仿宋_GB2312" w:hAnsi="仿宋_GB2312" w:cs="仿宋_GB2312"/>
          <w:szCs w:val="30"/>
        </w:rPr>
        <w:t>。主要为钟山县，共涉及全市14个乡镇，分布在市域中部八步盆地区域。着力保护耕地，发展现代农业，增强农业综合生产能力，确保粮食安全和优质农产品供给；在严格落实耕地用途管制要求的前提下，优化农业生产布局和种植结构，优先实施土地整治、高标准农田建设，提高耕地质量和产能；推动现代农业产业园区建设，发展高效循环农业和农产品深加工；引导乡村民宿开发和建设，推动旅游提质升级，带动群众就业增收；城乡建设实施集中布局、点状开发，以重点镇为主推进城镇建设和工业发展。</w:t>
      </w:r>
    </w:p>
    <w:p>
      <w:pPr>
        <w:widowControl/>
        <w:ind w:firstLine="643"/>
        <w:rPr>
          <w:rFonts w:ascii="仿宋_GB2312" w:hAnsi="仿宋_GB2312" w:cs="仿宋_GB2312"/>
        </w:rPr>
      </w:pPr>
      <w:r>
        <w:rPr>
          <w:rFonts w:hint="eastAsia" w:ascii="仿宋_GB2312" w:hAnsi="仿宋_GB2312" w:cs="仿宋_GB2312"/>
          <w:b/>
          <w:szCs w:val="30"/>
        </w:rPr>
        <w:t>——国家级重点生态功能区。</w:t>
      </w:r>
      <w:r>
        <w:rPr>
          <w:rFonts w:hint="eastAsia" w:ascii="仿宋_GB2312" w:hAnsi="仿宋_GB2312" w:cs="仿宋_GB2312"/>
          <w:szCs w:val="30"/>
        </w:rPr>
        <w:t>主要为昭平县和富川瑶族自治县，共涉及全市24个乡镇，分布在姑婆山山脉、大桂山山脉、昭平中部山地丘陵地区、西部</w:t>
      </w:r>
      <w:r>
        <w:rPr>
          <w:rFonts w:hint="eastAsia" w:ascii="仿宋_GB2312" w:hAnsi="仿宋_GB2312" w:cs="仿宋_GB2312"/>
          <w:szCs w:val="30"/>
          <w:lang w:bidi="ar"/>
        </w:rPr>
        <w:t>都庞岭山系的西岭山与花山余脉</w:t>
      </w:r>
      <w:r>
        <w:rPr>
          <w:rFonts w:hint="eastAsia" w:ascii="仿宋_GB2312" w:hAnsi="仿宋_GB2312" w:cs="仿宋_GB2312"/>
          <w:szCs w:val="30"/>
        </w:rPr>
        <w:t>等重点生态功能片区。该区域以保护和修复生态环境、提供优质生态产品为主要任务，适度发展各类生态环境友好型产业，引导人口逐步有序向城镇转移。严格控制开发强度，形成点状开发、面上保护的空间布局，严格控制城乡建设用地增量贯彻落实重点生态功能区产业准入负面清单制度，已有的工业园区逐步升级为生态型工业园区，实行严格的产业准入标准。结合山林地区特色生态环境，建设特色风貌型、节能环保型村庄，因地制宜发展旅游业和山区特色农业。</w:t>
      </w:r>
    </w:p>
    <w:p>
      <w:pPr>
        <w:ind w:firstLine="643"/>
        <w:rPr>
          <w:rFonts w:ascii="仿宋_GB2312" w:hAnsi="仿宋_GB2312" w:cs="仿宋_GB2312"/>
          <w:szCs w:val="30"/>
        </w:rPr>
      </w:pPr>
      <w:r>
        <w:rPr>
          <w:rFonts w:hint="eastAsia" w:ascii="仿宋_GB2312" w:hAnsi="仿宋_GB2312" w:cs="仿宋_GB2312"/>
          <w:b/>
          <w:szCs w:val="30"/>
        </w:rPr>
        <w:t>——城市化地区。</w:t>
      </w:r>
      <w:r>
        <w:rPr>
          <w:rFonts w:hint="eastAsia" w:ascii="仿宋_GB2312" w:hAnsi="仿宋_GB2312" w:cs="仿宋_GB2312"/>
          <w:szCs w:val="30"/>
        </w:rPr>
        <w:t>主要为八步区和平桂区，共涉及全市23个单元，包括中心城区、全市重点镇、产业园区所在乡镇，主要分布在贵广高铁和广贺高速沿线、207国道、323国道沿线的八步盆地区域。坚持底线思维，合理确定城镇发展方向与空间布局，新增建设用地重点向该区域倾斜，统筹永久基本农田与生态空间保护；培育壮大中心城市，改善人居环境，实施城市更新，提高人口集聚能力；坚持产业发展导向，推动创新驱动发展和产业结构升级，加快培育各具特色的产业园区，促进产城融合和低效建设用地再开发，提高单位建设用地投资强度和产出效率；强化历史文化保护、塑造城市风貌，建设宜居城市、海绵城市、智慧城市、韧性城市。</w:t>
      </w:r>
    </w:p>
    <w:p>
      <w:pPr>
        <w:pStyle w:val="71"/>
        <w:ind w:firstLine="643"/>
        <w:rPr>
          <w:rFonts w:ascii="仿宋_GB2312" w:hAnsi="仿宋_GB2312" w:cs="仿宋_GB2312"/>
          <w:szCs w:val="30"/>
        </w:rPr>
      </w:pPr>
      <w:r>
        <w:rPr>
          <w:rFonts w:hint="eastAsia" w:ascii="仿宋_GB2312" w:hAnsi="仿宋_GB2312" w:cs="仿宋_GB2312"/>
          <w:b/>
          <w:bCs/>
          <w:szCs w:val="30"/>
        </w:rPr>
        <w:t>落实叠加功能与特色名录。</w:t>
      </w:r>
      <w:r>
        <w:rPr>
          <w:rFonts w:hint="eastAsia" w:ascii="仿宋_GB2312" w:hAnsi="仿宋_GB2312" w:cs="仿宋_GB2312"/>
          <w:szCs w:val="30"/>
        </w:rPr>
        <w:t>落实昭平县、钟山县能源资源富集区叠加功能，资源开发利用应以不损害区域生态功能为前提，尽量少占耕地和生态保护空间，资源开发的后勤保障和加工利用基地应尽可能依托现有城镇，提高资源能源开发的经济和技术环保准入门槛，推进资源绿色开发和高效利用与加强资源开发的监督监管。落实平桂区纳入资源枯竭地区名录，在实行主体功能区配套政策的基础上，同时落实国家关于资源枯竭地区的管理要求，重点培育发展接续替代产业。</w:t>
      </w:r>
    </w:p>
    <w:p>
      <w:pPr>
        <w:pStyle w:val="5"/>
        <w:numPr>
          <w:ilvl w:val="0"/>
          <w:numId w:val="5"/>
        </w:numPr>
        <w:spacing w:before="156" w:after="0" w:afterLines="0"/>
        <w:ind w:left="0" w:firstLine="640"/>
        <w:rPr>
          <w:lang w:val="zh-CN"/>
        </w:rPr>
      </w:pPr>
      <w:r>
        <w:rPr>
          <w:rFonts w:hint="eastAsia"/>
          <w:lang w:val="zh-CN"/>
        </w:rPr>
        <w:t>开发保护总体格局</w:t>
      </w:r>
    </w:p>
    <w:p>
      <w:pPr>
        <w:ind w:firstLine="643"/>
        <w:rPr>
          <w:rFonts w:ascii="仿宋_GB2312" w:hAnsi="仿宋_GB2312" w:cs="仿宋_GB2312"/>
        </w:rPr>
      </w:pPr>
      <w:r>
        <w:rPr>
          <w:rFonts w:hint="eastAsia" w:ascii="仿宋_GB2312" w:hAnsi="仿宋_GB2312" w:cs="仿宋_GB2312"/>
          <w:b/>
        </w:rPr>
        <w:t>构建“两屏三区、一心三带”总体格局。</w:t>
      </w:r>
      <w:r>
        <w:rPr>
          <w:rFonts w:hint="eastAsia" w:ascii="仿宋_GB2312" w:hAnsi="仿宋_GB2312" w:cs="仿宋_GB2312"/>
        </w:rPr>
        <w:t>落实国家、自治区发展战略和主体功能区战略，以自然地理格局和资源环境承载能力为基础，推动形成功能明显、优势互补、差异发展的国土空间总体开发保护新格局</w:t>
      </w:r>
      <w:r>
        <w:rPr>
          <w:rFonts w:hint="eastAsia" w:ascii="仿宋_GB2312" w:hAnsi="仿宋_GB2312" w:cs="仿宋_GB2312"/>
          <w:bCs/>
        </w:rPr>
        <w:t>。</w:t>
      </w:r>
    </w:p>
    <w:p>
      <w:pPr>
        <w:ind w:firstLine="643"/>
        <w:rPr>
          <w:rFonts w:ascii="仿宋_GB2312" w:hAnsi="仿宋_GB2312" w:cs="仿宋_GB2312"/>
        </w:rPr>
      </w:pPr>
      <w:r>
        <w:rPr>
          <w:rFonts w:hint="eastAsia" w:ascii="仿宋_GB2312" w:hAnsi="仿宋_GB2312" w:cs="仿宋_GB2312"/>
          <w:b/>
        </w:rPr>
        <w:t>——“两屏”。</w:t>
      </w:r>
      <w:r>
        <w:rPr>
          <w:rFonts w:hint="eastAsia" w:ascii="仿宋_GB2312" w:hAnsi="仿宋_GB2312" w:cs="仿宋_GB2312"/>
        </w:rPr>
        <w:t>即西北部生态屏障，以广西富川西岭自治区级森林公园、广西富川龟石国家湿地公园自然保护地及周边区域为主，维护区域生态系统完整稳固，发挥保持水土、涵养水源、保育生态多样性、阻滞污染等多项功能；东南部生态屏障，以大桂山山脉及周边区域为主，实现涵养水源、保护生态多样性、生物迁徙廊道、景观游憩、隔离防护等复合生态服务功能。</w:t>
      </w:r>
    </w:p>
    <w:p>
      <w:pPr>
        <w:ind w:firstLine="643"/>
        <w:rPr>
          <w:rFonts w:ascii="仿宋_GB2312" w:hAnsi="仿宋_GB2312" w:cs="仿宋_GB2312"/>
        </w:rPr>
      </w:pPr>
      <w:r>
        <w:rPr>
          <w:rFonts w:hint="eastAsia" w:ascii="仿宋_GB2312" w:hAnsi="仿宋_GB2312" w:cs="仿宋_GB2312"/>
          <w:b/>
        </w:rPr>
        <w:t>——“三区”。</w:t>
      </w:r>
      <w:r>
        <w:rPr>
          <w:rFonts w:hint="eastAsia" w:ascii="仿宋_GB2312" w:hAnsi="仿宋_GB2312" w:cs="仿宋_GB2312"/>
        </w:rPr>
        <w:t>即信都平原农业主产区、八步盆地农业主产区和富川平原农业主产区。信都平原农业主产区以巩固优质耕地资源为主，加快发展富硒水稻和蔬菜设施农业；八步盆地农业主产区以严守优质耕地资源底线为主，适度发展乡村旅游；富川平原农业主产区以夯实优质耕地资源，有序推动绿色优质农产品可持续发展。</w:t>
      </w:r>
    </w:p>
    <w:p>
      <w:pPr>
        <w:ind w:firstLine="643"/>
        <w:rPr>
          <w:rFonts w:ascii="仿宋_GB2312" w:hAnsi="仿宋_GB2312" w:cs="仿宋_GB2312"/>
        </w:rPr>
      </w:pPr>
      <w:r>
        <w:rPr>
          <w:rFonts w:hint="eastAsia" w:ascii="仿宋_GB2312" w:hAnsi="仿宋_GB2312" w:cs="仿宋_GB2312"/>
          <w:b/>
        </w:rPr>
        <w:t>——“一心”。</w:t>
      </w:r>
      <w:r>
        <w:rPr>
          <w:rFonts w:hint="eastAsia" w:ascii="仿宋_GB2312" w:hAnsi="仿宋_GB2312" w:cs="仿宋_GB2312"/>
        </w:rPr>
        <w:t>即市域城镇发展中心，以中心城区为载体，打造引领全市域高质量发展的核心增长极。</w:t>
      </w:r>
    </w:p>
    <w:p>
      <w:pPr>
        <w:pStyle w:val="2"/>
        <w:ind w:firstLine="643"/>
        <w:rPr>
          <w:rFonts w:ascii="仿宋_GB2312" w:hAnsi="仿宋_GB2312" w:cs="仿宋_GB2312"/>
        </w:rPr>
      </w:pPr>
      <w:r>
        <w:rPr>
          <w:rFonts w:hint="eastAsia" w:ascii="仿宋_GB2312" w:hAnsi="仿宋_GB2312" w:cs="仿宋_GB2312"/>
          <w:b/>
        </w:rPr>
        <w:t>——“三带”。</w:t>
      </w:r>
      <w:r>
        <w:rPr>
          <w:rFonts w:hint="eastAsia" w:ascii="仿宋_GB2312" w:hAnsi="仿宋_GB2312" w:cs="仿宋_GB2312"/>
        </w:rPr>
        <w:t>即东融高质量发展带、生态文旅康养带和生态农旅产业带。东融高质量发展带重点向东连接粤港澳大湾区，串联沿线中心城区、钟山县城和重点产业园区、现代服务业集聚区等，优化产业功能布局和基础设施配套，驱动全市经济社会高质量发展；生态文旅康养带串联昭平县城、黄姚镇和南乡镇等重点城镇和沿线旅游景区，推动发展康养、旅游、生态农业等产业发展；生态农旅产业带串联富川县城、莲山镇、回龙镇和马江镇等重要城镇和产业园区，推动循环经济、现代农业、文旅等产业发展。</w:t>
      </w:r>
    </w:p>
    <w:p>
      <w:pPr>
        <w:pStyle w:val="2"/>
        <w:ind w:firstLine="640"/>
        <w:rPr>
          <w:rFonts w:ascii="仿宋_GB2312" w:hAnsi="仿宋_GB2312" w:cs="仿宋_GB2312"/>
        </w:rPr>
        <w:sectPr>
          <w:pgSz w:w="11906" w:h="16838"/>
          <w:pgMar w:top="1418" w:right="1474" w:bottom="1985" w:left="1588" w:header="0" w:footer="1588" w:gutter="0"/>
          <w:cols w:space="425" w:num="1"/>
          <w:docGrid w:type="lines" w:linePitch="312" w:charSpace="0"/>
        </w:sectPr>
      </w:pPr>
    </w:p>
    <w:p>
      <w:pPr>
        <w:pStyle w:val="3"/>
        <w:keepNext w:val="0"/>
        <w:widowControl/>
        <w:numPr>
          <w:ilvl w:val="0"/>
          <w:numId w:val="3"/>
        </w:numPr>
        <w:autoSpaceDE w:val="0"/>
        <w:autoSpaceDN w:val="0"/>
        <w:rPr>
          <w:rFonts w:ascii="方正小标宋_GBK" w:hAnsi="方正小标宋_GBK" w:cs="方正小标宋_GBK"/>
          <w:szCs w:val="36"/>
          <w:lang w:val="zh-CN"/>
        </w:rPr>
      </w:pPr>
      <w:bookmarkStart w:id="114" w:name="_Toc14272_WPSOffice_Level1"/>
      <w:bookmarkStart w:id="115" w:name="_Toc31182"/>
      <w:bookmarkStart w:id="116" w:name="_Toc7340"/>
      <w:bookmarkStart w:id="117" w:name="_Toc4619"/>
      <w:bookmarkStart w:id="118" w:name="_Toc11261"/>
      <w:bookmarkStart w:id="119" w:name="_Toc25955"/>
      <w:bookmarkStart w:id="120" w:name="_Toc213018247"/>
      <w:bookmarkStart w:id="121" w:name="_Toc20852"/>
      <w:bookmarkStart w:id="122" w:name="_Toc3001"/>
      <w:bookmarkStart w:id="123" w:name="_Toc27518"/>
      <w:r>
        <w:rPr>
          <w:rFonts w:hint="eastAsia" w:ascii="方正小标宋_GBK" w:hAnsi="方正小标宋_GBK" w:cs="方正小标宋_GBK"/>
          <w:szCs w:val="36"/>
          <w:lang w:val="zh-CN"/>
        </w:rPr>
        <w:t>农业生产空间</w:t>
      </w:r>
      <w:bookmarkEnd w:id="114"/>
      <w:bookmarkEnd w:id="115"/>
      <w:bookmarkEnd w:id="116"/>
      <w:bookmarkEnd w:id="117"/>
      <w:bookmarkEnd w:id="118"/>
      <w:bookmarkEnd w:id="119"/>
      <w:bookmarkEnd w:id="120"/>
      <w:bookmarkEnd w:id="121"/>
      <w:bookmarkEnd w:id="122"/>
      <w:bookmarkEnd w:id="123"/>
    </w:p>
    <w:p>
      <w:pPr>
        <w:pStyle w:val="4"/>
        <w:numPr>
          <w:ilvl w:val="0"/>
          <w:numId w:val="8"/>
        </w:numPr>
        <w:tabs>
          <w:tab w:val="left" w:pos="360"/>
        </w:tabs>
        <w:spacing w:before="156" w:beforeLines="50" w:line="460" w:lineRule="exact"/>
        <w:ind w:left="0" w:firstLine="0"/>
        <w:rPr>
          <w:rFonts w:ascii="Times New Roman" w:hAnsi="Times New Roman"/>
        </w:rPr>
      </w:pPr>
      <w:bookmarkStart w:id="124" w:name="_Toc20891"/>
      <w:bookmarkStart w:id="125" w:name="_Toc15152"/>
      <w:bookmarkStart w:id="126" w:name="_Toc1009"/>
      <w:bookmarkStart w:id="127" w:name="_Toc648"/>
      <w:bookmarkStart w:id="128" w:name="_Toc213018248"/>
      <w:bookmarkStart w:id="129" w:name="_Toc29396"/>
      <w:bookmarkStart w:id="130" w:name="_Toc1451_WPSOffice_Level2"/>
      <w:bookmarkStart w:id="131" w:name="_Toc28634"/>
      <w:bookmarkStart w:id="132" w:name="_Toc3768"/>
      <w:bookmarkStart w:id="133" w:name="_Toc23791"/>
      <w:r>
        <w:rPr>
          <w:rFonts w:hint="eastAsia" w:ascii="Times New Roman" w:hAnsi="Times New Roman"/>
        </w:rPr>
        <w:t>耕地保护</w:t>
      </w:r>
      <w:bookmarkEnd w:id="124"/>
      <w:bookmarkEnd w:id="125"/>
      <w:bookmarkEnd w:id="126"/>
      <w:bookmarkEnd w:id="127"/>
      <w:bookmarkEnd w:id="128"/>
      <w:bookmarkEnd w:id="129"/>
      <w:bookmarkEnd w:id="130"/>
      <w:bookmarkEnd w:id="131"/>
      <w:bookmarkEnd w:id="132"/>
      <w:bookmarkEnd w:id="133"/>
    </w:p>
    <w:p>
      <w:pPr>
        <w:pStyle w:val="5"/>
        <w:numPr>
          <w:ilvl w:val="0"/>
          <w:numId w:val="5"/>
        </w:numPr>
        <w:spacing w:before="156" w:after="0" w:afterLines="0"/>
        <w:ind w:left="0" w:firstLine="640"/>
        <w:rPr>
          <w:lang w:val="zh-CN"/>
        </w:rPr>
      </w:pPr>
      <w:r>
        <w:rPr>
          <w:rFonts w:hint="eastAsia"/>
          <w:lang w:val="zh-CN"/>
        </w:rPr>
        <w:t>耕地保护与提升措施</w:t>
      </w:r>
    </w:p>
    <w:p>
      <w:pPr>
        <w:widowControl/>
        <w:ind w:firstLine="643"/>
        <w:rPr>
          <w:rFonts w:ascii="仿宋_GB2312" w:hAnsi="仿宋_GB2312" w:cs="仿宋_GB2312"/>
          <w:szCs w:val="32"/>
        </w:rPr>
      </w:pPr>
      <w:r>
        <w:rPr>
          <w:rFonts w:hint="eastAsia" w:ascii="仿宋_GB2312" w:hAnsi="仿宋_GB2312" w:cs="仿宋_GB2312"/>
          <w:b/>
          <w:bCs/>
          <w:szCs w:val="32"/>
        </w:rPr>
        <w:t>落实最严格耕地保护制度。</w:t>
      </w:r>
      <w:r>
        <w:rPr>
          <w:rFonts w:hint="eastAsia" w:ascii="仿宋_GB2312" w:hAnsi="仿宋_GB2312" w:cs="仿宋_GB2312"/>
          <w:szCs w:val="32"/>
        </w:rPr>
        <w:t>认真贯彻落实中央和自治区关于严格耕地保护部署要求，压紧压实耕地保护主体责任，牢牢守住耕地保护红线，</w:t>
      </w:r>
      <w:r>
        <w:rPr>
          <w:rFonts w:hint="eastAsia" w:ascii="仿宋_GB2312" w:hAnsi="仿宋_GB2312" w:cs="仿宋_GB2312"/>
          <w:b/>
          <w:szCs w:val="32"/>
          <w:u w:val="single"/>
        </w:rPr>
        <w:t>到2035年，</w:t>
      </w:r>
      <w:r>
        <w:rPr>
          <w:rFonts w:hint="eastAsia" w:ascii="仿宋_GB2312" w:hAnsi="仿宋_GB2312" w:cs="仿宋_GB2312"/>
          <w:b/>
          <w:bCs/>
          <w:szCs w:val="30"/>
          <w:u w:val="single"/>
        </w:rPr>
        <w:t>耕地保有量不低于</w:t>
      </w:r>
      <w:r>
        <w:rPr>
          <w:rFonts w:hint="eastAsia" w:ascii="仿宋_GB2312" w:hAnsi="仿宋_GB2312" w:cs="仿宋_GB2312"/>
          <w:b/>
          <w:bCs/>
          <w:szCs w:val="30"/>
          <w:u w:val="single"/>
          <w:lang w:bidi="ar"/>
        </w:rPr>
        <w:t>172.35</w:t>
      </w:r>
      <w:r>
        <w:rPr>
          <w:rFonts w:hint="eastAsia" w:ascii="仿宋_GB2312" w:hAnsi="仿宋_GB2312" w:cs="仿宋_GB2312"/>
          <w:b/>
          <w:bCs/>
          <w:szCs w:val="30"/>
          <w:u w:val="single"/>
        </w:rPr>
        <w:t>万亩</w:t>
      </w:r>
      <w:r>
        <w:rPr>
          <w:rFonts w:hint="eastAsia" w:ascii="仿宋_GB2312" w:hAnsi="仿宋_GB2312" w:cs="仿宋_GB2312"/>
          <w:b/>
          <w:szCs w:val="32"/>
          <w:u w:val="single"/>
        </w:rPr>
        <w:t>。</w:t>
      </w:r>
      <w:r>
        <w:rPr>
          <w:rFonts w:hint="eastAsia" w:ascii="仿宋_GB2312" w:hAnsi="仿宋_GB2312" w:cs="仿宋_GB2312"/>
          <w:szCs w:val="32"/>
        </w:rPr>
        <w:t>全面推行耕地保护“田长制”，坚决遏制耕地“非农化”，严格防止耕地“非粮化”，加大耕地撂荒、耕地“非粮化”等专项治理；严格落实耕地保护和粮食安全责任制考核；确保可长期稳定利用耕地面积落实上级下达耕地保护目标任务要求，并保持布局基本稳定，全方位夯实粮食安全根基，共同守住十八亿亩耕地红线，实现可持续发展目标。</w:t>
      </w:r>
    </w:p>
    <w:p>
      <w:pPr>
        <w:widowControl/>
        <w:ind w:firstLine="643"/>
        <w:rPr>
          <w:rFonts w:ascii="仿宋_GB2312" w:hAnsi="仿宋_GB2312" w:cs="仿宋_GB2312"/>
          <w:szCs w:val="32"/>
        </w:rPr>
      </w:pPr>
      <w:r>
        <w:rPr>
          <w:rFonts w:hint="eastAsia" w:ascii="仿宋_GB2312" w:hAnsi="仿宋_GB2312" w:cs="仿宋_GB2312"/>
          <w:b/>
          <w:bCs/>
          <w:szCs w:val="32"/>
          <w:lang w:bidi="ar"/>
        </w:rPr>
        <w:t>开展耕地质量提升行动</w:t>
      </w:r>
      <w:r>
        <w:rPr>
          <w:rFonts w:hint="eastAsia" w:ascii="仿宋_GB2312" w:hAnsi="仿宋_GB2312" w:cs="仿宋_GB2312"/>
          <w:szCs w:val="32"/>
        </w:rPr>
        <w:t>。重点推进信都平原、八步盆地、富川平原等重要粮食生产功能区的地力培肥和先进耕作技术，提高土壤肥力。稳妥有序推进小块并大块，提高耕地集中连片度。推动农田基础设施现代化，提高粮食生产能力。多措并举推进建设占用耕地耕作层土壤剥离再利用，防范土壤污染，提升新开垦耕地和中低产田质量。</w:t>
      </w:r>
    </w:p>
    <w:p>
      <w:pPr>
        <w:widowControl/>
        <w:ind w:firstLine="643"/>
        <w:rPr>
          <w:rFonts w:ascii="仿宋_GB2312" w:hAnsi="仿宋_GB2312" w:cs="仿宋_GB2312"/>
          <w:kern w:val="0"/>
          <w:szCs w:val="32"/>
          <w:lang w:bidi="ar"/>
        </w:rPr>
      </w:pPr>
      <w:r>
        <w:rPr>
          <w:rFonts w:hint="eastAsia" w:ascii="仿宋_GB2312" w:hAnsi="仿宋_GB2312" w:cs="仿宋_GB2312"/>
          <w:b/>
          <w:bCs/>
          <w:szCs w:val="32"/>
          <w:lang w:bidi="ar"/>
        </w:rPr>
        <w:t>统筹推进耕地占补平衡。</w:t>
      </w:r>
      <w:r>
        <w:rPr>
          <w:rFonts w:hint="eastAsia" w:ascii="仿宋_GB2312" w:hAnsi="仿宋_GB2312" w:cs="仿宋_GB2312"/>
          <w:szCs w:val="32"/>
        </w:rPr>
        <w:t>非农建设占用耕地必须严格落实占一补一、占优补优、占水田补水田的耕地占补平衡要求。</w:t>
      </w:r>
      <w:r>
        <w:rPr>
          <w:rFonts w:hint="eastAsia" w:ascii="仿宋_GB2312" w:hAnsi="仿宋_GB2312" w:cs="仿宋_GB2312"/>
          <w:kern w:val="0"/>
          <w:szCs w:val="32"/>
          <w:lang w:bidi="ar"/>
        </w:rPr>
        <w:t>以贺州市耕地后备资源等潜力调查成果为基础，系统谋划和统筹推进补充耕地工作，拓宽补充耕地渠道。在确保生态安全前提下，通过土地综合整治方式，重点对宜耕园地、林地以及未利用地分布较为集中的八步平原、富川平原、桂岭盆地等区域开展宜耕后备资源开发，为实现耕地占补平衡、保障粮食安全提供重要支撑。</w:t>
      </w:r>
    </w:p>
    <w:p>
      <w:pPr>
        <w:widowControl/>
        <w:ind w:firstLine="643"/>
        <w:rPr>
          <w:rFonts w:ascii="仿宋_GB2312" w:hAnsi="仿宋_GB2312" w:cs="仿宋_GB2312"/>
          <w:szCs w:val="32"/>
        </w:rPr>
      </w:pPr>
      <w:r>
        <w:rPr>
          <w:rFonts w:hint="eastAsia" w:ascii="仿宋_GB2312" w:hAnsi="仿宋_GB2312" w:cs="仿宋_GB2312"/>
          <w:b/>
          <w:bCs/>
          <w:szCs w:val="32"/>
          <w:lang w:bidi="ar"/>
        </w:rPr>
        <w:t>严格落实耕地进出平衡。</w:t>
      </w:r>
      <w:r>
        <w:rPr>
          <w:rFonts w:hint="eastAsia" w:ascii="仿宋_GB2312" w:hAnsi="仿宋_GB2312" w:cs="仿宋_GB2312"/>
          <w:kern w:val="0"/>
          <w:szCs w:val="32"/>
          <w:lang w:bidi="ar"/>
        </w:rPr>
        <w:t>严格实行一般耕地年度“进出平衡”制度，确需使用一般耕地的，确保“总量平衡、以进定出、先进后出”，实行常态化“长牙齿”的耕地保护措施。结合贺州市耕地后备资源等调查成果，优先将地势平坦、土壤和水源条件好的集中连片土地，“二调”为耕地、但“三调”种植属性标注为即可恢复、工程恢复的林地、园地及拟退出的农业设施建设用地恢复为耕地，作为耕地进出平衡补充耕地来源，补足同等数量、质量的可长期稳定利用耕地。质量较高、集中连片的可长期稳定利用耕地，粮食生产功能区、高标准农田、补充耕地项目范围内的耕地原则上不予流出。</w:t>
      </w:r>
    </w:p>
    <w:p>
      <w:pPr>
        <w:pStyle w:val="71"/>
        <w:snapToGrid w:val="0"/>
        <w:ind w:firstLine="643"/>
        <w:rPr>
          <w:rFonts w:ascii="仿宋_GB2312" w:hAnsi="仿宋_GB2312" w:cs="仿宋_GB2312"/>
          <w:szCs w:val="32"/>
        </w:rPr>
      </w:pPr>
      <w:r>
        <w:rPr>
          <w:rFonts w:hint="eastAsia" w:ascii="仿宋_GB2312" w:hAnsi="仿宋_GB2312" w:cs="仿宋_GB2312"/>
          <w:b/>
          <w:bCs/>
          <w:szCs w:val="32"/>
        </w:rPr>
        <w:t>有序开展耕地恢复计划。</w:t>
      </w:r>
      <w:r>
        <w:rPr>
          <w:rFonts w:hint="eastAsia" w:ascii="仿宋_GB2312" w:hAnsi="仿宋_GB2312" w:cs="仿宋_GB2312"/>
          <w:szCs w:val="32"/>
        </w:rPr>
        <w:t>对原已经发生耕地流向园地、林地等其他农用地及农业设施建设用地的部分，</w:t>
      </w:r>
      <w:r>
        <w:rPr>
          <w:rFonts w:hint="eastAsia" w:ascii="仿宋_GB2312" w:hAnsi="仿宋_GB2312" w:cs="仿宋_GB2312"/>
          <w:kern w:val="0"/>
          <w:szCs w:val="32"/>
          <w:lang w:bidi="ar"/>
        </w:rPr>
        <w:t>合理考虑恢复耕地的难易程度、经济效益、工程措施可操作性和自然环境影响等因素，</w:t>
      </w:r>
      <w:r>
        <w:rPr>
          <w:rFonts w:hint="eastAsia" w:ascii="仿宋_GB2312" w:hAnsi="仿宋_GB2312" w:cs="仿宋_GB2312"/>
          <w:szCs w:val="32"/>
        </w:rPr>
        <w:t>优先在八步盆地、信都平原、桂岭盆地、黄姚盆地、钟山盆地及富川平原等区域恢复耕地。</w:t>
      </w:r>
    </w:p>
    <w:p>
      <w:pPr>
        <w:pStyle w:val="5"/>
        <w:numPr>
          <w:ilvl w:val="0"/>
          <w:numId w:val="5"/>
        </w:numPr>
        <w:spacing w:before="156" w:after="0" w:afterLines="0"/>
        <w:ind w:left="0" w:firstLine="640"/>
        <w:rPr>
          <w:lang w:val="zh-CN"/>
        </w:rPr>
      </w:pPr>
      <w:r>
        <w:rPr>
          <w:rFonts w:hint="eastAsia"/>
          <w:lang w:val="zh-CN"/>
        </w:rPr>
        <w:t>耕地后备资源开发和储备</w:t>
      </w:r>
    </w:p>
    <w:p>
      <w:pPr>
        <w:ind w:firstLine="643"/>
        <w:rPr>
          <w:rFonts w:ascii="仿宋_GB2312" w:hAnsi="仿宋_GB2312" w:cs="仿宋_GB2312"/>
          <w:b/>
          <w:bCs/>
        </w:rPr>
      </w:pPr>
      <w:r>
        <w:rPr>
          <w:rFonts w:hint="eastAsia" w:ascii="仿宋_GB2312" w:hAnsi="仿宋_GB2312" w:cs="仿宋_GB2312"/>
          <w:b/>
          <w:bCs/>
        </w:rPr>
        <w:t>因地制宜开发耕地后备资源。</w:t>
      </w:r>
      <w:r>
        <w:rPr>
          <w:rFonts w:hint="eastAsia" w:ascii="仿宋_GB2312" w:hAnsi="仿宋_GB2312" w:cs="仿宋_GB2312"/>
        </w:rPr>
        <w:t>充分衔接广西耕地后备资源调查成果，结合龟石灌区、思勤江灌区、合面狮灌区、龟石东干水利工程等灌区和引水工程，重点开展信都平原、桂岭盆地、望高西湾盆地、英家回龙盆地等区域的宜耕未利用开发、宜耕农用地整理。</w:t>
      </w:r>
    </w:p>
    <w:p>
      <w:pPr>
        <w:pStyle w:val="5"/>
        <w:numPr>
          <w:ilvl w:val="0"/>
          <w:numId w:val="5"/>
        </w:numPr>
        <w:spacing w:before="156" w:after="0" w:afterLines="0"/>
        <w:ind w:left="0" w:firstLine="640"/>
        <w:rPr>
          <w:lang w:val="zh-CN"/>
        </w:rPr>
      </w:pPr>
      <w:r>
        <w:rPr>
          <w:rFonts w:hint="eastAsia"/>
          <w:lang w:val="zh-CN"/>
        </w:rPr>
        <w:t>高标准农田建设</w:t>
      </w:r>
    </w:p>
    <w:p>
      <w:pPr>
        <w:pStyle w:val="2"/>
        <w:ind w:firstLine="643"/>
        <w:rPr>
          <w:rFonts w:ascii="仿宋_GB2312" w:hAnsi="仿宋_GB2312" w:cs="仿宋_GB2312"/>
        </w:rPr>
      </w:pPr>
      <w:r>
        <w:rPr>
          <w:rFonts w:hint="eastAsia" w:ascii="仿宋_GB2312" w:hAnsi="仿宋_GB2312" w:cs="仿宋_GB2312"/>
          <w:b/>
        </w:rPr>
        <w:t>加快建设高标准农田。</w:t>
      </w:r>
      <w:r>
        <w:rPr>
          <w:rFonts w:hint="eastAsia" w:ascii="仿宋_GB2312" w:hAnsi="仿宋_GB2312" w:cs="仿宋_GB2312"/>
        </w:rPr>
        <w:t>坚持以永久基本农田、粮食生产功能区、农产品生产保护区为重点，以提升粮食产能为主要任务，</w:t>
      </w:r>
      <w:r>
        <w:rPr>
          <w:rFonts w:hint="eastAsia" w:ascii="仿宋_GB2312" w:hAnsi="仿宋_GB2312" w:cs="仿宋_GB2312"/>
          <w:szCs w:val="30"/>
          <w:lang w:bidi="ar"/>
        </w:rPr>
        <w:t>加快高标准农田建设和中低产田改造，开展水稻玉米高产攻关行动，提高粮食综合生产能力和自给率，逐步实现粮食基本自给。</w:t>
      </w:r>
      <w:r>
        <w:rPr>
          <w:rFonts w:hint="eastAsia" w:ascii="仿宋_GB2312" w:hAnsi="仿宋_GB2312" w:cs="仿宋_GB2312"/>
        </w:rPr>
        <w:t>市辖区中部和东南部区域主要开展土地平整、灌排系统建设、农田防护与地力建设。</w:t>
      </w:r>
      <w:r>
        <w:rPr>
          <w:rFonts w:hint="eastAsia" w:ascii="仿宋_GB2312" w:hAnsi="仿宋_GB2312" w:cs="仿宋_GB2312"/>
          <w:bCs/>
          <w:szCs w:val="30"/>
        </w:rPr>
        <w:t>昭平县</w:t>
      </w:r>
      <w:r>
        <w:rPr>
          <w:rFonts w:hint="eastAsia" w:ascii="仿宋_GB2312" w:hAnsi="仿宋_GB2312" w:cs="仿宋_GB2312"/>
        </w:rPr>
        <w:t>重点</w:t>
      </w:r>
      <w:r>
        <w:rPr>
          <w:rFonts w:hint="eastAsia" w:ascii="仿宋_GB2312" w:hAnsi="仿宋_GB2312" w:cs="仿宋_GB2312"/>
          <w:bCs/>
          <w:szCs w:val="30"/>
        </w:rPr>
        <w:t>提升耕地质量，持续改善农业生产条件，稳步提高粮食生产能力，确保谷物基本自给、口粮绝对安全。八步区南部、钟山县南部、富川瑶族自治县中部等地势较平坦区域</w:t>
      </w:r>
      <w:r>
        <w:rPr>
          <w:rFonts w:hint="eastAsia" w:ascii="仿宋_GB2312" w:hAnsi="仿宋_GB2312" w:cs="仿宋_GB2312"/>
        </w:rPr>
        <w:t>通过田、土、水、路、林、电、技、管综合整治，完善农田基础设施，建设集中连片、设施配套齐全、高产稳产的高标准农田。</w:t>
      </w:r>
    </w:p>
    <w:p>
      <w:pPr>
        <w:pStyle w:val="5"/>
        <w:numPr>
          <w:ilvl w:val="0"/>
          <w:numId w:val="5"/>
        </w:numPr>
        <w:spacing w:before="156" w:after="0" w:afterLines="0"/>
        <w:ind w:left="0" w:firstLine="640"/>
        <w:rPr>
          <w:lang w:val="zh-CN"/>
        </w:rPr>
      </w:pPr>
      <w:r>
        <w:rPr>
          <w:rFonts w:hint="eastAsia"/>
          <w:lang w:val="zh-CN"/>
        </w:rPr>
        <w:t>粮食主产区</w:t>
      </w:r>
    </w:p>
    <w:p>
      <w:pPr>
        <w:ind w:firstLine="643"/>
        <w:rPr>
          <w:rFonts w:ascii="仿宋_GB2312" w:hAnsi="仿宋_GB2312" w:cs="仿宋_GB2312"/>
        </w:rPr>
      </w:pPr>
      <w:r>
        <w:rPr>
          <w:rFonts w:hint="eastAsia" w:ascii="仿宋_GB2312" w:hAnsi="仿宋_GB2312" w:cs="仿宋_GB2312"/>
          <w:b/>
          <w:bCs/>
        </w:rPr>
        <w:t>科学划定落实粮食主产区，提高粮食安全保障水平。</w:t>
      </w:r>
      <w:r>
        <w:rPr>
          <w:rFonts w:hint="eastAsia" w:ascii="仿宋_GB2312" w:hAnsi="仿宋_GB2312" w:cs="仿宋_GB2312"/>
        </w:rPr>
        <w:t>加大保护力度，提高粮食综合生产能力，优化水稻、玉米等主产区布局，在市域形成以信都平原、桂岭盆地、富川平原农业主产区为主的粮食生产功能区。以</w:t>
      </w:r>
      <w:r>
        <w:fldChar w:fldCharType="begin"/>
      </w:r>
      <w:r>
        <w:instrText xml:space="preserve"> HYPERLINK "https://news.163.com/news/search?keyword=%E7%B2%AE%E9%A3%9F%E4%B8%BB%E4%BA%A7%E5%8C%BA" \t "https://www.163.com/money/article/_blank" </w:instrText>
      </w:r>
      <w:r>
        <w:fldChar w:fldCharType="separate"/>
      </w:r>
      <w:r>
        <w:rPr>
          <w:rFonts w:hint="eastAsia" w:ascii="仿宋_GB2312" w:hAnsi="仿宋_GB2312" w:cs="仿宋_GB2312"/>
        </w:rPr>
        <w:t>粮食主产区</w:t>
      </w:r>
      <w:r>
        <w:rPr>
          <w:rFonts w:hint="eastAsia" w:ascii="仿宋_GB2312" w:hAnsi="仿宋_GB2312" w:cs="仿宋_GB2312"/>
        </w:rPr>
        <w:fldChar w:fldCharType="end"/>
      </w:r>
      <w:r>
        <w:rPr>
          <w:rFonts w:hint="eastAsia" w:ascii="仿宋_GB2312" w:hAnsi="仿宋_GB2312" w:cs="仿宋_GB2312"/>
        </w:rPr>
        <w:t>为重点大力推进</w:t>
      </w:r>
      <w:r>
        <w:fldChar w:fldCharType="begin"/>
      </w:r>
      <w:r>
        <w:instrText xml:space="preserve"> HYPERLINK "https://news.163.com/news/search?keyword=%E9%AB%98%E6%A0%87%E5%87%86%E5%86%9C%E7%94%B0" \t "https://www.163.com/money/article/_blank" </w:instrText>
      </w:r>
      <w:r>
        <w:fldChar w:fldCharType="separate"/>
      </w:r>
      <w:r>
        <w:rPr>
          <w:rFonts w:hint="eastAsia" w:ascii="仿宋_GB2312" w:hAnsi="仿宋_GB2312" w:cs="仿宋_GB2312"/>
        </w:rPr>
        <w:t>高标准农田</w:t>
      </w:r>
      <w:r>
        <w:rPr>
          <w:rFonts w:hint="eastAsia" w:ascii="仿宋_GB2312" w:hAnsi="仿宋_GB2312" w:cs="仿宋_GB2312"/>
        </w:rPr>
        <w:fldChar w:fldCharType="end"/>
      </w:r>
      <w:r>
        <w:rPr>
          <w:rFonts w:hint="eastAsia" w:ascii="仿宋_GB2312" w:hAnsi="仿宋_GB2312" w:cs="仿宋_GB2312"/>
        </w:rPr>
        <w:t>建设和中低产田改造力度，提升粮食保障能力，实现口粮保障率100%和粮食基本自给；粮食主产区每年至少种植一季粮食作物，采取粮食与非粮食作物间作、轮作、套种等利用方式，并确保符合国土变更调查所确认的耕地认定标准，进一步强化粮食种植监管和约束，对不符合耕地用途管制要求的农业生产经营活动，取消相关扶持措施。</w:t>
      </w:r>
    </w:p>
    <w:p>
      <w:pPr>
        <w:pStyle w:val="5"/>
        <w:numPr>
          <w:ilvl w:val="0"/>
          <w:numId w:val="5"/>
        </w:numPr>
        <w:spacing w:before="156" w:after="156"/>
        <w:ind w:left="0" w:firstLine="640"/>
        <w:rPr>
          <w:lang w:val="zh-CN"/>
        </w:rPr>
      </w:pPr>
      <w:r>
        <w:rPr>
          <w:rFonts w:hint="eastAsia"/>
          <w:lang w:val="zh-CN"/>
        </w:rPr>
        <w:t>富硒土壤</w:t>
      </w:r>
    </w:p>
    <w:p>
      <w:pPr>
        <w:pStyle w:val="71"/>
        <w:snapToGrid w:val="0"/>
        <w:spacing w:line="360" w:lineRule="auto"/>
        <w:ind w:firstLine="643"/>
        <w:rPr>
          <w:rFonts w:ascii="仿宋_GB2312" w:hAnsi="仿宋_GB2312" w:cs="仿宋_GB2312"/>
        </w:rPr>
      </w:pPr>
      <w:r>
        <w:rPr>
          <w:rFonts w:hint="eastAsia" w:ascii="仿宋_GB2312" w:hAnsi="仿宋_GB2312" w:cs="仿宋_GB2312"/>
          <w:b/>
          <w:bCs/>
          <w:szCs w:val="24"/>
        </w:rPr>
        <w:t>富硒资源保护与优势转化。</w:t>
      </w:r>
      <w:r>
        <w:rPr>
          <w:rFonts w:hint="eastAsia" w:ascii="仿宋_GB2312" w:hAnsi="仿宋_GB2312" w:cs="仿宋_GB2312"/>
          <w:szCs w:val="24"/>
        </w:rPr>
        <w:t>以八步区东南部、昭平县中部、富川瑶族自治县中南部等区域为重点，优先划定富硒土壤资源重点保护区，强化富硒耕地管理，严格控制非农建设占用富硒耕地。将富硒农产品生产认证与土壤资源相结合，加强农资准入管理，从源头控制土壤污染。在信都片区、昭平县、富川瑶族自治县等富硒资源密集区域布局建设富硒农业示范基地和富硒农产品生产示范基地，创立富硒蔬菜、富硒水稻等贺州市生态有机农产品品牌，把富硒资源优势转化为经济优势。</w:t>
      </w:r>
    </w:p>
    <w:p>
      <w:pPr>
        <w:pStyle w:val="4"/>
        <w:numPr>
          <w:ilvl w:val="0"/>
          <w:numId w:val="8"/>
        </w:numPr>
        <w:tabs>
          <w:tab w:val="left" w:pos="360"/>
        </w:tabs>
        <w:spacing w:before="156" w:beforeLines="50" w:line="460" w:lineRule="exact"/>
        <w:ind w:left="0" w:firstLine="0"/>
        <w:rPr>
          <w:rFonts w:ascii="Times New Roman" w:hAnsi="Times New Roman"/>
        </w:rPr>
      </w:pPr>
      <w:bookmarkStart w:id="134" w:name="_Toc23472"/>
      <w:bookmarkStart w:id="135" w:name="_Toc26572"/>
      <w:bookmarkStart w:id="136" w:name="_Toc3632"/>
      <w:bookmarkStart w:id="137" w:name="_Toc2359"/>
      <w:bookmarkStart w:id="138" w:name="_Toc6247"/>
      <w:bookmarkStart w:id="139" w:name="_Toc7734"/>
      <w:bookmarkStart w:id="140" w:name="_Toc22807"/>
      <w:bookmarkStart w:id="141" w:name="_Toc2795_WPSOffice_Level2"/>
      <w:bookmarkStart w:id="142" w:name="_Toc9541"/>
      <w:bookmarkStart w:id="143" w:name="_Toc213018249"/>
      <w:r>
        <w:rPr>
          <w:rFonts w:hint="eastAsia" w:ascii="Times New Roman" w:hAnsi="Times New Roman"/>
        </w:rPr>
        <w:t>农业空间布局</w:t>
      </w:r>
      <w:bookmarkEnd w:id="134"/>
      <w:bookmarkEnd w:id="135"/>
      <w:bookmarkEnd w:id="136"/>
      <w:bookmarkEnd w:id="137"/>
      <w:bookmarkEnd w:id="138"/>
      <w:bookmarkEnd w:id="139"/>
      <w:bookmarkEnd w:id="140"/>
      <w:bookmarkEnd w:id="141"/>
      <w:bookmarkEnd w:id="142"/>
      <w:bookmarkEnd w:id="143"/>
    </w:p>
    <w:p>
      <w:pPr>
        <w:pStyle w:val="5"/>
        <w:numPr>
          <w:ilvl w:val="0"/>
          <w:numId w:val="5"/>
        </w:numPr>
        <w:spacing w:before="156" w:after="0" w:afterLines="0"/>
        <w:ind w:left="0" w:firstLine="640"/>
        <w:rPr>
          <w:lang w:val="zh-CN"/>
        </w:rPr>
      </w:pPr>
      <w:r>
        <w:rPr>
          <w:rFonts w:hint="eastAsia"/>
          <w:lang w:val="zh-CN"/>
        </w:rPr>
        <w:t>现代农业</w:t>
      </w:r>
      <w:r>
        <w:rPr>
          <w:rFonts w:hint="eastAsia"/>
        </w:rPr>
        <w:t>空间</w:t>
      </w:r>
      <w:r>
        <w:rPr>
          <w:rFonts w:hint="eastAsia"/>
          <w:lang w:val="zh-CN"/>
        </w:rPr>
        <w:t>格局</w:t>
      </w:r>
    </w:p>
    <w:p>
      <w:pPr>
        <w:ind w:firstLine="643"/>
        <w:rPr>
          <w:rFonts w:ascii="仿宋_GB2312" w:hAnsi="仿宋_GB2312" w:cs="仿宋_GB2312"/>
        </w:rPr>
      </w:pPr>
      <w:r>
        <w:rPr>
          <w:rFonts w:hint="eastAsia" w:ascii="仿宋_GB2312" w:hAnsi="仿宋_GB2312" w:cs="仿宋_GB2312"/>
          <w:b/>
        </w:rPr>
        <w:t>构建“一带四区多基地”农业发展格局。</w:t>
      </w:r>
      <w:r>
        <w:rPr>
          <w:rFonts w:hint="eastAsia" w:ascii="仿宋_GB2312" w:hAnsi="仿宋_GB2312" w:cs="仿宋_GB2312"/>
        </w:rPr>
        <w:t>基于主体功能定位和农业资源禀赋，严格筑牢粮食安全底线，</w:t>
      </w:r>
      <w:r>
        <w:rPr>
          <w:rFonts w:hint="eastAsia" w:ascii="仿宋_GB2312" w:hAnsi="仿宋_GB2312" w:cs="仿宋_GB2312"/>
          <w:szCs w:val="30"/>
        </w:rPr>
        <w:t>因地制宜发展多种经营，</w:t>
      </w:r>
      <w:r>
        <w:rPr>
          <w:rFonts w:hint="eastAsia" w:ascii="仿宋_GB2312" w:hAnsi="仿宋_GB2312" w:cs="仿宋_GB2312"/>
        </w:rPr>
        <w:t>加快现代特色农业发展。</w:t>
      </w:r>
    </w:p>
    <w:p>
      <w:pPr>
        <w:widowControl/>
        <w:ind w:firstLine="643"/>
        <w:rPr>
          <w:rFonts w:ascii="仿宋_GB2312" w:hAnsi="仿宋_GB2312" w:cs="仿宋_GB2312"/>
        </w:rPr>
      </w:pPr>
      <w:r>
        <w:rPr>
          <w:rFonts w:hint="eastAsia" w:ascii="仿宋_GB2312" w:hAnsi="仿宋_GB2312" w:cs="仿宋_GB2312"/>
          <w:b/>
          <w:bCs/>
        </w:rPr>
        <w:t>——</w:t>
      </w:r>
      <w:r>
        <w:rPr>
          <w:rFonts w:hint="eastAsia" w:ascii="仿宋_GB2312" w:hAnsi="仿宋_GB2312" w:cs="仿宋_GB2312"/>
          <w:b/>
          <w:bCs/>
          <w:lang w:bidi="ar"/>
        </w:rPr>
        <w:t>“一带”。</w:t>
      </w:r>
      <w:r>
        <w:rPr>
          <w:rFonts w:hint="eastAsia" w:ascii="仿宋_GB2312" w:hAnsi="仿宋_GB2312" w:cs="仿宋_GB2312"/>
          <w:lang w:bidi="ar"/>
        </w:rPr>
        <w:t>湘桂粤农业乡村振兴发展带，在发展带沿线及南、北两翼布局特色农业示范区。</w:t>
      </w:r>
    </w:p>
    <w:p>
      <w:pPr>
        <w:ind w:firstLine="643"/>
        <w:rPr>
          <w:rFonts w:ascii="仿宋_GB2312" w:hAnsi="仿宋_GB2312" w:cs="仿宋_GB2312"/>
        </w:rPr>
      </w:pPr>
      <w:r>
        <w:rPr>
          <w:rFonts w:hint="eastAsia" w:ascii="仿宋_GB2312" w:hAnsi="仿宋_GB2312" w:cs="仿宋_GB2312"/>
          <w:b/>
          <w:bCs/>
        </w:rPr>
        <w:t>——“四区”</w:t>
      </w:r>
      <w:r>
        <w:rPr>
          <w:rFonts w:hint="eastAsia" w:ascii="仿宋_GB2312" w:hAnsi="仿宋_GB2312" w:cs="仿宋_GB2312"/>
          <w:b/>
          <w:bCs/>
          <w:lang w:bidi="ar"/>
        </w:rPr>
        <w:t>。</w:t>
      </w:r>
      <w:r>
        <w:rPr>
          <w:rFonts w:hint="eastAsia" w:ascii="仿宋_GB2312" w:hAnsi="仿宋_GB2312" w:cs="仿宋_GB2312"/>
        </w:rPr>
        <w:t>依托粮食生产功能区、农业示范园区和富硒土壤分布情况，划定北部特色农产品主产区、中部环都市现代农业观光区、东北—西南部山地特色林业经济区和东南部供港粮经作物优势区。</w:t>
      </w:r>
    </w:p>
    <w:p>
      <w:pPr>
        <w:ind w:firstLine="643"/>
        <w:rPr>
          <w:rFonts w:ascii="仿宋_GB2312" w:hAnsi="仿宋_GB2312" w:cs="仿宋_GB2312"/>
          <w:b/>
          <w:szCs w:val="30"/>
        </w:rPr>
      </w:pPr>
      <w:r>
        <w:rPr>
          <w:rFonts w:hint="eastAsia" w:ascii="仿宋_GB2312" w:hAnsi="仿宋_GB2312" w:cs="仿宋_GB2312"/>
          <w:b/>
          <w:szCs w:val="30"/>
        </w:rPr>
        <w:t>供港粮经作物优势区。</w:t>
      </w:r>
      <w:r>
        <w:rPr>
          <w:rFonts w:hint="eastAsia" w:ascii="仿宋_GB2312" w:hAnsi="仿宋_GB2312" w:cs="仿宋_GB2312"/>
          <w:szCs w:val="30"/>
        </w:rPr>
        <w:t>充分发挥毗邻粤港澳的区位优势和自身生态资源禀赋，结合广西发展现代特色农业（核心）示范区的建设，主动融入珠江－西江经济带、粤桂黔滇高铁经济带，建设粤港澳绿色农产品生产基地；突出优势特色，促进农业产业转型升级，提高农业综合生产能力。</w:t>
      </w:r>
    </w:p>
    <w:p>
      <w:pPr>
        <w:snapToGrid w:val="0"/>
        <w:ind w:firstLine="643"/>
        <w:rPr>
          <w:rFonts w:ascii="仿宋_GB2312" w:hAnsi="仿宋_GB2312" w:cs="仿宋_GB2312"/>
          <w:szCs w:val="30"/>
        </w:rPr>
      </w:pPr>
      <w:r>
        <w:rPr>
          <w:rFonts w:hint="eastAsia" w:ascii="仿宋_GB2312" w:hAnsi="仿宋_GB2312" w:cs="仿宋_GB2312"/>
          <w:b/>
          <w:szCs w:val="30"/>
        </w:rPr>
        <w:t>特色农产品主产区。</w:t>
      </w:r>
      <w:r>
        <w:rPr>
          <w:rFonts w:hint="eastAsia" w:ascii="仿宋_GB2312" w:hAnsi="仿宋_GB2312" w:cs="仿宋_GB2312"/>
          <w:szCs w:val="30"/>
        </w:rPr>
        <w:t>加大对特色农产品种植产业的扶持，提升特色农产品优势区域聚集度，延伸产业链条、构建产业集群，实现品种特色化。强化果蔬基地基础设施建设，开展土地整治，调理土壤提升肥力。大力推广农产品采后分级处理和保鲜技术，加快冷链物流基地建设。</w:t>
      </w:r>
    </w:p>
    <w:p>
      <w:pPr>
        <w:snapToGrid w:val="0"/>
        <w:ind w:firstLine="643"/>
        <w:rPr>
          <w:rFonts w:ascii="仿宋_GB2312" w:hAnsi="仿宋_GB2312" w:cs="仿宋_GB2312"/>
          <w:szCs w:val="30"/>
        </w:rPr>
      </w:pPr>
      <w:r>
        <w:rPr>
          <w:rFonts w:hint="eastAsia" w:ascii="仿宋_GB2312" w:hAnsi="仿宋_GB2312" w:cs="仿宋_GB2312"/>
          <w:b/>
          <w:bCs/>
        </w:rPr>
        <w:t>环都市现代农业观光区</w:t>
      </w:r>
      <w:r>
        <w:rPr>
          <w:rFonts w:hint="eastAsia" w:ascii="仿宋_GB2312" w:hAnsi="仿宋_GB2312" w:cs="仿宋_GB2312"/>
          <w:b/>
          <w:szCs w:val="30"/>
        </w:rPr>
        <w:t>。</w:t>
      </w:r>
      <w:r>
        <w:rPr>
          <w:rFonts w:hint="eastAsia" w:ascii="仿宋_GB2312" w:hAnsi="仿宋_GB2312" w:cs="仿宋_GB2312"/>
          <w:szCs w:val="30"/>
        </w:rPr>
        <w:t>以循环经济为核心，三产融合，巩固现代农业强市根基，大力发展现代农业，深入挖掘蝴蝶歌、长鼓舞等文化内涵，保护传承贺州农耕文化和特色民俗文化，拓展整合农业的休闲、养生、体验、教育等功能，形成一二三产深度融合发展新格局。</w:t>
      </w:r>
    </w:p>
    <w:p>
      <w:pPr>
        <w:snapToGrid w:val="0"/>
        <w:ind w:firstLine="643"/>
        <w:rPr>
          <w:rFonts w:ascii="仿宋_GB2312" w:hAnsi="仿宋_GB2312" w:cs="仿宋_GB2312"/>
        </w:rPr>
      </w:pPr>
      <w:r>
        <w:rPr>
          <w:rFonts w:hint="eastAsia" w:ascii="仿宋_GB2312" w:hAnsi="仿宋_GB2312" w:cs="仿宋_GB2312"/>
          <w:b/>
          <w:bCs/>
        </w:rPr>
        <w:t>山地特色林业经济区</w:t>
      </w:r>
      <w:r>
        <w:rPr>
          <w:rFonts w:hint="eastAsia" w:ascii="仿宋_GB2312" w:hAnsi="仿宋_GB2312" w:cs="仿宋_GB2312"/>
          <w:b/>
          <w:szCs w:val="30"/>
        </w:rPr>
        <w:t>。</w:t>
      </w:r>
      <w:r>
        <w:rPr>
          <w:rFonts w:hint="eastAsia" w:ascii="仿宋_GB2312" w:hAnsi="仿宋_GB2312" w:cs="仿宋_GB2312"/>
          <w:szCs w:val="30"/>
        </w:rPr>
        <w:t>依靠茶区地理、气候优势和已形成的布局基础，加强昭平茶叶市场平台建设，推进标准化茶厂建设。以生态茶园建设为载体，把茶叶种植、生产、加工、销售、品茶与旅游、观光、休闲、度假等有机结合。依托贺州市现有多个中药材基地，加大中药材种植产业扶持力度，建设改善基地生产条件和设施，建设中药材规范化标准化规模化生产基地。</w:t>
      </w:r>
    </w:p>
    <w:p>
      <w:pPr>
        <w:ind w:firstLine="643"/>
        <w:rPr>
          <w:rFonts w:ascii="仿宋_GB2312" w:hAnsi="仿宋_GB2312" w:cs="仿宋_GB2312"/>
        </w:rPr>
      </w:pPr>
      <w:r>
        <w:rPr>
          <w:rFonts w:hint="eastAsia" w:ascii="仿宋_GB2312" w:hAnsi="仿宋_GB2312" w:cs="仿宋_GB2312"/>
          <w:b/>
          <w:bCs/>
          <w:szCs w:val="30"/>
        </w:rPr>
        <w:t>——“多基地”。</w:t>
      </w:r>
      <w:r>
        <w:rPr>
          <w:rFonts w:hint="eastAsia" w:ascii="仿宋_GB2312" w:hAnsi="仿宋_GB2312" w:cs="仿宋_GB2312"/>
        </w:rPr>
        <w:t>以拓展二三产业为重点，发展高效现代设施农业，构建精品稻、三华李、脐橙、香芋、蔬菜、马蹄、茶叶、淮山、生猪等基地，延伸产业链，提高附加值，强化农产品加工和仓储物流，保障粤港澳大湾区的“菜篮子”“果篮子”“米袋子”和特色农产品供应，打造茶叶、果蔬、畜禽、油茶等优势特色农业产业集群和生产基地。</w:t>
      </w:r>
    </w:p>
    <w:p>
      <w:pPr>
        <w:pStyle w:val="5"/>
        <w:numPr>
          <w:ilvl w:val="0"/>
          <w:numId w:val="5"/>
        </w:numPr>
        <w:spacing w:before="156" w:after="0" w:afterLines="0"/>
        <w:ind w:left="0" w:firstLine="640"/>
        <w:rPr>
          <w:lang w:val="zh-CN"/>
        </w:rPr>
      </w:pPr>
      <w:r>
        <w:rPr>
          <w:rFonts w:hint="eastAsia"/>
          <w:lang w:val="zh-CN"/>
        </w:rPr>
        <w:t>引导农业产业发展</w:t>
      </w:r>
    </w:p>
    <w:p>
      <w:pPr>
        <w:widowControl/>
        <w:ind w:firstLine="643"/>
        <w:rPr>
          <w:rFonts w:ascii="仿宋_GB2312" w:hAnsi="仿宋_GB2312" w:cs="仿宋_GB2312"/>
        </w:rPr>
      </w:pPr>
      <w:bookmarkStart w:id="144" w:name="_Toc26082"/>
      <w:bookmarkStart w:id="145" w:name="_Toc7894"/>
      <w:bookmarkStart w:id="146" w:name="_Toc6594"/>
      <w:bookmarkStart w:id="147" w:name="_Toc17312"/>
      <w:bookmarkStart w:id="148" w:name="_Toc2205"/>
      <w:bookmarkStart w:id="149" w:name="_Toc27599"/>
      <w:bookmarkStart w:id="150" w:name="_Toc25854"/>
      <w:bookmarkStart w:id="151" w:name="_Toc22504"/>
      <w:r>
        <w:rPr>
          <w:rFonts w:hint="eastAsia" w:ascii="仿宋_GB2312" w:hAnsi="仿宋_GB2312" w:cs="仿宋_GB2312"/>
          <w:b/>
          <w:bCs/>
        </w:rPr>
        <w:t>保障一二三产融合发展空间。</w:t>
      </w:r>
      <w:r>
        <w:rPr>
          <w:rFonts w:hint="eastAsia" w:ascii="仿宋_GB2312" w:hAnsi="仿宋_GB2312" w:cs="仿宋_GB2312"/>
        </w:rPr>
        <w:t>围绕粤港澳大湾区市场需求，加快昭平茶、富川脐橙特优区实施，发展蔬菜、八步区三华李、平桂区马蹄、钟山县香芋、昭平县及富川瑶族自治县中药材等一批特色乡村优势产业，以三产深度融合为主线，做强农业特色产业，发展农产品加工业，助推休闲观光农业，构建一二三产融合产业发展空间。通过全域农业农村空间整治农业空间布局优化，通过内部挖潜，为农村三产融合发展填补、置换出更多的用地空间。</w:t>
      </w:r>
    </w:p>
    <w:p>
      <w:pPr>
        <w:ind w:firstLine="643"/>
        <w:rPr>
          <w:rFonts w:ascii="仿宋_GB2312" w:hAnsi="仿宋_GB2312" w:cs="仿宋_GB2312"/>
        </w:rPr>
      </w:pPr>
      <w:r>
        <w:rPr>
          <w:rFonts w:hint="eastAsia" w:ascii="仿宋_GB2312" w:hAnsi="仿宋_GB2312" w:cs="仿宋_GB2312"/>
          <w:b/>
          <w:bCs/>
        </w:rPr>
        <w:t>发展壮大农业产业强镇。</w:t>
      </w:r>
      <w:r>
        <w:rPr>
          <w:rFonts w:hint="eastAsia" w:ascii="仿宋_GB2312" w:hAnsi="仿宋_GB2312" w:cs="仿宋_GB2312"/>
        </w:rPr>
        <w:t>依托现有资源基础和产业特色，发展壮大产业特色鲜明、设施装备先进、农民增收明显的村镇，引导城乡资源双向流动，推动更多资本、技术、人才等要素向农业产业强镇倾斜。大力发展现代设施农业，推进农产品产地冷藏、冷链物流设施建设，推进畜禽规模化养殖场改造升级，进一步完善市、县、乡镇产业空间布局与用地保障。</w:t>
      </w:r>
    </w:p>
    <w:p>
      <w:pPr>
        <w:ind w:firstLine="643"/>
        <w:rPr>
          <w:rFonts w:ascii="仿宋_GB2312" w:hAnsi="仿宋_GB2312" w:cs="仿宋_GB2312"/>
        </w:rPr>
      </w:pPr>
      <w:r>
        <w:rPr>
          <w:rFonts w:hint="eastAsia" w:ascii="仿宋_GB2312" w:hAnsi="仿宋_GB2312" w:cs="仿宋_GB2312"/>
          <w:b/>
          <w:bCs/>
        </w:rPr>
        <w:t>打造贺州现代农业产业园。</w:t>
      </w:r>
      <w:r>
        <w:rPr>
          <w:rFonts w:hint="eastAsia" w:ascii="仿宋_GB2312" w:hAnsi="仿宋_GB2312" w:cs="仿宋_GB2312"/>
        </w:rPr>
        <w:t>以“百李挑一”“百里水墨田园”等田园综合体为试点示范，充分利用现有农业产业基地和生态优良、物产丰富的优势，建设以果蔬种植、畜禽水产养殖为主的现代农业产业园，完善园区基础设施建设，以推广现代化、自动化、智能化种养模式为抓手推进数字农业发展，打造一批绿色低碳循环、产业优势突出、辐射带动有力、要素高度集聚、多功能融合的田园综合体及农业产业园区，实现农业现代化和高质量发展。</w:t>
      </w:r>
    </w:p>
    <w:p>
      <w:pPr>
        <w:pStyle w:val="4"/>
        <w:numPr>
          <w:ilvl w:val="0"/>
          <w:numId w:val="8"/>
        </w:numPr>
        <w:tabs>
          <w:tab w:val="left" w:pos="360"/>
        </w:tabs>
        <w:spacing w:before="156" w:beforeLines="50" w:line="460" w:lineRule="exact"/>
        <w:ind w:left="0" w:firstLine="0"/>
        <w:rPr>
          <w:rFonts w:ascii="Times New Roman" w:hAnsi="Times New Roman"/>
        </w:rPr>
      </w:pPr>
      <w:bookmarkStart w:id="152" w:name="_Toc213018250"/>
      <w:bookmarkStart w:id="153" w:name="_Toc32408_WPSOffice_Level2"/>
      <w:r>
        <w:rPr>
          <w:rFonts w:hint="eastAsia" w:ascii="Times New Roman" w:hAnsi="Times New Roman"/>
        </w:rPr>
        <w:t>乡村振兴</w:t>
      </w:r>
      <w:bookmarkEnd w:id="144"/>
      <w:bookmarkEnd w:id="145"/>
      <w:bookmarkEnd w:id="146"/>
      <w:bookmarkEnd w:id="147"/>
      <w:bookmarkEnd w:id="148"/>
      <w:bookmarkEnd w:id="149"/>
      <w:bookmarkEnd w:id="150"/>
      <w:bookmarkEnd w:id="151"/>
      <w:bookmarkEnd w:id="152"/>
      <w:bookmarkEnd w:id="153"/>
    </w:p>
    <w:p>
      <w:pPr>
        <w:pStyle w:val="5"/>
        <w:numPr>
          <w:ilvl w:val="0"/>
          <w:numId w:val="5"/>
        </w:numPr>
        <w:spacing w:before="156" w:after="0" w:afterLines="0"/>
        <w:ind w:left="0" w:firstLine="640"/>
        <w:rPr>
          <w:lang w:val="zh-CN"/>
        </w:rPr>
      </w:pPr>
      <w:r>
        <w:rPr>
          <w:rFonts w:hint="eastAsia"/>
          <w:lang w:val="zh-CN"/>
        </w:rPr>
        <w:t>发展目标</w:t>
      </w:r>
    </w:p>
    <w:p>
      <w:pPr>
        <w:pStyle w:val="2"/>
        <w:ind w:firstLine="643"/>
        <w:rPr>
          <w:rFonts w:ascii="仿宋_GB2312" w:hAnsi="仿宋_GB2312" w:cs="仿宋_GB2312"/>
        </w:rPr>
      </w:pPr>
      <w:r>
        <w:rPr>
          <w:rFonts w:hint="eastAsia" w:ascii="仿宋_GB2312" w:hAnsi="仿宋_GB2312" w:cs="仿宋_GB2312"/>
          <w:b/>
          <w:bCs/>
        </w:rPr>
        <w:t>坚持农业农村优先发展。</w:t>
      </w:r>
      <w:r>
        <w:rPr>
          <w:rFonts w:hint="eastAsia" w:ascii="仿宋_GB2312" w:hAnsi="仿宋_GB2312" w:cs="仿宋_GB2312"/>
        </w:rPr>
        <w:t>依照产业兴旺、生态宜居、乡风文明、治理有效、生活富裕的总要求，围绕推动乡村产业振兴、乡村人才振兴、乡村文化振兴、乡村生态振兴、乡村组织振兴，建立健全全域城乡融合发展体制和政策体系。到规划期末，贺州市完成乡村全面振兴，与全国同步实现农业强、农村美、农民富。</w:t>
      </w:r>
    </w:p>
    <w:p>
      <w:pPr>
        <w:pStyle w:val="5"/>
        <w:numPr>
          <w:ilvl w:val="0"/>
          <w:numId w:val="5"/>
        </w:numPr>
        <w:spacing w:before="156" w:after="0" w:afterLines="0"/>
        <w:ind w:left="0" w:firstLine="640"/>
        <w:rPr>
          <w:lang w:val="zh-CN"/>
        </w:rPr>
      </w:pPr>
      <w:r>
        <w:rPr>
          <w:rFonts w:hint="eastAsia"/>
          <w:lang w:val="zh-CN"/>
        </w:rPr>
        <w:t>促进措施</w:t>
      </w:r>
    </w:p>
    <w:p>
      <w:pPr>
        <w:pStyle w:val="2"/>
        <w:ind w:firstLine="643"/>
        <w:rPr>
          <w:rFonts w:ascii="仿宋_GB2312" w:hAnsi="仿宋_GB2312" w:cs="仿宋_GB2312"/>
          <w:szCs w:val="32"/>
        </w:rPr>
      </w:pPr>
      <w:r>
        <w:rPr>
          <w:rFonts w:hint="eastAsia" w:ascii="仿宋_GB2312" w:hAnsi="仿宋_GB2312" w:cs="仿宋_GB2312"/>
          <w:b/>
          <w:bCs/>
          <w:szCs w:val="32"/>
        </w:rPr>
        <w:t>推动示范创建引领产业振兴。</w:t>
      </w:r>
      <w:r>
        <w:rPr>
          <w:rFonts w:hint="eastAsia" w:ascii="仿宋_GB2312" w:hAnsi="仿宋_GB2312" w:cs="仿宋_GB2312"/>
          <w:szCs w:val="32"/>
        </w:rPr>
        <w:t>推广平桂区及羊头镇创建国家乡村振兴示范县及全国“一村一品”示范村镇的先进经验，依托粮食、蔬菜、香芋、水果、茶叶等特色农业基础，推进农业生产品种培优、品质提升、品牌打造和标准化生产，培育可复制可推广的农产品及加工副产品，分级创建一批示范乡镇、示范村，加快构建“一县一业、一镇一特、一村一品”现代乡村产业发展体系。</w:t>
      </w:r>
    </w:p>
    <w:p>
      <w:pPr>
        <w:widowControl/>
        <w:spacing w:line="580" w:lineRule="exact"/>
        <w:ind w:firstLine="643"/>
        <w:rPr>
          <w:rFonts w:ascii="仿宋_GB2312" w:hAnsi="仿宋_GB2312" w:cs="仿宋_GB2312"/>
          <w:szCs w:val="32"/>
        </w:rPr>
      </w:pPr>
      <w:r>
        <w:rPr>
          <w:rFonts w:hint="eastAsia" w:ascii="仿宋_GB2312" w:hAnsi="仿宋_GB2312" w:cs="仿宋_GB2312"/>
          <w:b/>
          <w:bCs/>
          <w:szCs w:val="32"/>
        </w:rPr>
        <w:t>乡村振兴用地保障。</w:t>
      </w:r>
      <w:r>
        <w:rPr>
          <w:rFonts w:hint="eastAsia" w:ascii="仿宋_GB2312" w:hAnsi="仿宋_GB2312" w:cs="仿宋_GB2312"/>
          <w:kern w:val="0"/>
          <w:szCs w:val="32"/>
          <w:lang w:bidi="ar"/>
        </w:rPr>
        <w:t>统筹城乡产业发展，优化城乡产业用地布局，引导工业向城镇产业空间集聚，除少量必需的农产品生产加工外，一般不在农村地区安排新增工业用地。合理确定村庄建设边界，控制村庄建设用地总量，保障一二三产业融合发展用地空间。在县、乡镇级国土空间规划中安排不少于10％的建设用地指标，在规划层面重点保障村民居住、农村公共公益设施、零星分散的乡村文旅设施、农村新产业新业态用地等。保障乡村重点产业和项目用地，支持农村新产业新业态和一二三产业融合发展。鼓励利用存量建设用地进行农产品加工、农产品冷链、物流仓储、产地批发市场等项目建设。存量用地用于小微创业园、休闲农业、乡村旅游、农村电商等农村二三产业的县（区），给予新增建设用地计划指标奖励</w:t>
      </w:r>
      <w:r>
        <w:rPr>
          <w:rFonts w:hint="eastAsia" w:ascii="仿宋_GB2312" w:hAnsi="仿宋_GB2312" w:cs="仿宋_GB2312"/>
          <w:szCs w:val="32"/>
          <w:lang w:bidi="ar"/>
        </w:rPr>
        <w:t>。</w:t>
      </w:r>
    </w:p>
    <w:p>
      <w:pPr>
        <w:widowControl/>
        <w:ind w:firstLine="643"/>
        <w:rPr>
          <w:rFonts w:ascii="仿宋_GB2312" w:hAnsi="仿宋_GB2312" w:cs="仿宋_GB2312"/>
          <w:szCs w:val="32"/>
        </w:rPr>
      </w:pPr>
      <w:r>
        <w:rPr>
          <w:rFonts w:hint="eastAsia" w:ascii="仿宋_GB2312" w:hAnsi="仿宋_GB2312" w:cs="仿宋_GB2312"/>
          <w:b/>
          <w:bCs/>
          <w:szCs w:val="32"/>
        </w:rPr>
        <w:t>统筹保障农业设施建设用地空间。</w:t>
      </w:r>
      <w:r>
        <w:rPr>
          <w:rFonts w:hint="eastAsia" w:ascii="仿宋_GB2312" w:hAnsi="仿宋_GB2312" w:cs="仿宋_GB2312"/>
          <w:szCs w:val="32"/>
        </w:rPr>
        <w:t>结合特色农业布局，合理安排现代农业种植、畜禽水产养殖设施用地及晾晒、烘干、保鲜、存储、看护房、检验检疫监测等辅助设施用地，种植、畜禽水产养殖设施用地按照规模核定面积，种植辅助设施用地原则上不超过种植面积</w:t>
      </w:r>
      <w:r>
        <w:rPr>
          <w:rFonts w:hint="eastAsia" w:ascii="仿宋_GB2312" w:hAnsi="仿宋_GB2312" w:cs="仿宋_GB2312"/>
          <w:kern w:val="0"/>
          <w:szCs w:val="32"/>
          <w:lang w:bidi="ar"/>
        </w:rPr>
        <w:t>的5%，</w:t>
      </w:r>
      <w:r>
        <w:rPr>
          <w:rFonts w:hint="eastAsia" w:ascii="仿宋_GB2312" w:hAnsi="仿宋_GB2312" w:cs="仿宋_GB2312"/>
          <w:kern w:val="0"/>
          <w:szCs w:val="32"/>
          <w:lang w:val="zh-TW" w:bidi="ar"/>
        </w:rPr>
        <w:t>其中种植面积不超过3000亩的，最多不超过20亩；种植面积超过3000亩的，最多不超过30亩；</w:t>
      </w:r>
      <w:r>
        <w:rPr>
          <w:rFonts w:hint="eastAsia" w:ascii="仿宋_GB2312" w:hAnsi="仿宋_GB2312" w:cs="仿宋_GB2312"/>
          <w:kern w:val="0"/>
          <w:szCs w:val="32"/>
          <w:lang w:bidi="ar"/>
        </w:rPr>
        <w:t>养殖辅助设施用地原则上不超过项目用地规模的10%</w:t>
      </w:r>
      <w:r>
        <w:rPr>
          <w:rFonts w:hint="eastAsia" w:ascii="仿宋_GB2312" w:hAnsi="仿宋_GB2312" w:cs="仿宋_GB2312"/>
          <w:kern w:val="0"/>
          <w:szCs w:val="32"/>
          <w:lang w:val="zh-TW" w:bidi="ar"/>
        </w:rPr>
        <w:t>（其中规模化养牛、养羊可放宽至15%）</w:t>
      </w:r>
      <w:r>
        <w:rPr>
          <w:rFonts w:hint="eastAsia" w:ascii="仿宋_GB2312" w:hAnsi="仿宋_GB2312" w:cs="仿宋_GB2312"/>
          <w:szCs w:val="32"/>
        </w:rPr>
        <w:t>，规模化、工厂化养殖项目用地超出设施农业用地规模的，</w:t>
      </w:r>
      <w:r>
        <w:rPr>
          <w:rFonts w:hint="eastAsia" w:ascii="仿宋_GB2312" w:hAnsi="仿宋_GB2312" w:cs="仿宋_GB2312"/>
          <w:szCs w:val="32"/>
          <w:lang w:bidi="ar"/>
        </w:rPr>
        <w:t>应办理农用地转用审批手续，作为建设用地管理。严格控制新增农村道路、畜禽养殖设施、水产养殖设施和破坏耕作层的种植业设施等农业设施建设用地使用一般耕地。确需使用的，应经批准并符合相关标准，并落实耕地“进出平衡”。</w:t>
      </w:r>
    </w:p>
    <w:p>
      <w:pPr>
        <w:ind w:firstLine="643"/>
        <w:rPr>
          <w:rFonts w:ascii="仿宋_GB2312" w:hAnsi="仿宋_GB2312" w:cs="仿宋_GB2312"/>
          <w:szCs w:val="32"/>
          <w:lang w:val="zh-CN"/>
        </w:rPr>
      </w:pPr>
      <w:r>
        <w:rPr>
          <w:rFonts w:hint="eastAsia" w:ascii="仿宋_GB2312" w:hAnsi="仿宋_GB2312" w:cs="仿宋_GB2312"/>
          <w:b/>
          <w:bCs/>
          <w:szCs w:val="32"/>
        </w:rPr>
        <w:t>有序推进农村集体经营性建设用地入市。</w:t>
      </w:r>
      <w:r>
        <w:rPr>
          <w:rFonts w:hint="eastAsia" w:ascii="仿宋_GB2312" w:hAnsi="仿宋_GB2312" w:cs="仿宋_GB2312"/>
          <w:szCs w:val="32"/>
        </w:rPr>
        <w:t>以乡镇国土空间规划确定的土地利用布局和用途为前提，对集体建设用地的结构进行合理的配置，优先鼓励农民和农村集体经济组织依法依规盘活利用闲置宅基地和闲置住宅，加快集体建设用地入市解决新增建设用地需求，发展符合乡村特点的休闲农业、乡村旅游、餐饮民宿、文化体验、民俗展览、创意办公、康养服务、电子商务等新产业新业态，重塑乡村产业发展新格局。</w:t>
      </w:r>
      <w:bookmarkStart w:id="154" w:name="_Toc12928"/>
      <w:bookmarkStart w:id="155" w:name="_Toc12258"/>
      <w:bookmarkStart w:id="156" w:name="_Toc1473"/>
      <w:bookmarkStart w:id="157" w:name="_Toc3250"/>
      <w:bookmarkStart w:id="158" w:name="_Toc1420"/>
      <w:bookmarkStart w:id="159" w:name="_Toc2703"/>
      <w:bookmarkStart w:id="160" w:name="_Toc27502"/>
      <w:bookmarkStart w:id="161" w:name="_Toc7124"/>
    </w:p>
    <w:p>
      <w:pPr>
        <w:pStyle w:val="3"/>
        <w:keepNext w:val="0"/>
        <w:widowControl/>
        <w:numPr>
          <w:ilvl w:val="0"/>
          <w:numId w:val="3"/>
        </w:numPr>
        <w:autoSpaceDE w:val="0"/>
        <w:autoSpaceDN w:val="0"/>
        <w:spacing w:line="580" w:lineRule="exact"/>
        <w:rPr>
          <w:rFonts w:ascii="方正小标宋_GBK" w:hAnsi="方正小标宋_GBK" w:cs="方正小标宋_GBK"/>
          <w:szCs w:val="36"/>
          <w:lang w:val="zh-CN"/>
        </w:rPr>
        <w:sectPr>
          <w:pgSz w:w="11906" w:h="16838"/>
          <w:pgMar w:top="1418" w:right="1474" w:bottom="1985" w:left="1588" w:header="0" w:footer="1588" w:gutter="0"/>
          <w:cols w:space="425" w:num="1"/>
          <w:docGrid w:type="lines" w:linePitch="312" w:charSpace="0"/>
        </w:sectPr>
      </w:pPr>
      <w:bookmarkStart w:id="162" w:name="_Toc12748_WPSOffice_Level1"/>
    </w:p>
    <w:p>
      <w:pPr>
        <w:pStyle w:val="3"/>
        <w:keepNext w:val="0"/>
        <w:widowControl/>
        <w:numPr>
          <w:ilvl w:val="0"/>
          <w:numId w:val="3"/>
        </w:numPr>
        <w:autoSpaceDE w:val="0"/>
        <w:autoSpaceDN w:val="0"/>
        <w:rPr>
          <w:rFonts w:ascii="方正小标宋_GBK" w:hAnsi="方正小标宋_GBK" w:cs="方正小标宋_GBK"/>
          <w:szCs w:val="36"/>
          <w:lang w:val="zh-CN"/>
        </w:rPr>
      </w:pPr>
      <w:bookmarkStart w:id="163" w:name="_Toc213018251"/>
      <w:r>
        <w:rPr>
          <w:rFonts w:hint="eastAsia" w:ascii="方正小标宋_GBK" w:hAnsi="方正小标宋_GBK" w:cs="方正小标宋_GBK"/>
          <w:szCs w:val="36"/>
          <w:lang w:val="zh-CN"/>
        </w:rPr>
        <w:t>生态保护空间</w:t>
      </w:r>
      <w:bookmarkEnd w:id="154"/>
      <w:bookmarkEnd w:id="155"/>
      <w:bookmarkEnd w:id="156"/>
      <w:bookmarkEnd w:id="157"/>
      <w:bookmarkEnd w:id="158"/>
      <w:bookmarkEnd w:id="159"/>
      <w:bookmarkEnd w:id="160"/>
      <w:bookmarkEnd w:id="161"/>
      <w:bookmarkEnd w:id="162"/>
      <w:bookmarkEnd w:id="163"/>
    </w:p>
    <w:p>
      <w:pPr>
        <w:pStyle w:val="4"/>
        <w:numPr>
          <w:ilvl w:val="0"/>
          <w:numId w:val="9"/>
        </w:numPr>
        <w:tabs>
          <w:tab w:val="left" w:pos="360"/>
        </w:tabs>
        <w:spacing w:before="156" w:beforeLines="50" w:line="460" w:lineRule="exact"/>
        <w:ind w:left="0" w:firstLine="0"/>
        <w:rPr>
          <w:rFonts w:ascii="Times New Roman" w:hAnsi="Times New Roman"/>
        </w:rPr>
      </w:pPr>
      <w:bookmarkStart w:id="164" w:name="_Toc29495_WPSOffice_Level2"/>
      <w:bookmarkStart w:id="165" w:name="_Toc25726"/>
      <w:bookmarkStart w:id="166" w:name="_Toc213018252"/>
      <w:bookmarkStart w:id="167" w:name="_Toc12008"/>
      <w:bookmarkStart w:id="168" w:name="_Toc19924"/>
      <w:bookmarkStart w:id="169" w:name="_Toc3987"/>
      <w:bookmarkStart w:id="170" w:name="_Toc169"/>
      <w:bookmarkStart w:id="171" w:name="_Toc20004"/>
      <w:bookmarkStart w:id="172" w:name="_Toc23500"/>
      <w:bookmarkStart w:id="173" w:name="_Toc3599"/>
      <w:bookmarkStart w:id="174" w:name="_Toc4475"/>
      <w:r>
        <w:rPr>
          <w:rFonts w:hint="eastAsia" w:ascii="Times New Roman" w:hAnsi="Times New Roman"/>
        </w:rPr>
        <w:t>自然保护地体系</w:t>
      </w:r>
      <w:bookmarkEnd w:id="164"/>
      <w:bookmarkEnd w:id="165"/>
      <w:bookmarkEnd w:id="166"/>
      <w:bookmarkEnd w:id="167"/>
      <w:bookmarkEnd w:id="168"/>
      <w:bookmarkEnd w:id="169"/>
      <w:bookmarkEnd w:id="170"/>
      <w:bookmarkEnd w:id="171"/>
      <w:bookmarkEnd w:id="172"/>
      <w:bookmarkEnd w:id="173"/>
      <w:bookmarkEnd w:id="174"/>
    </w:p>
    <w:p>
      <w:pPr>
        <w:pStyle w:val="5"/>
        <w:numPr>
          <w:ilvl w:val="0"/>
          <w:numId w:val="5"/>
        </w:numPr>
        <w:spacing w:before="156" w:after="0" w:afterLines="0"/>
        <w:ind w:left="0" w:firstLine="640"/>
        <w:rPr>
          <w:lang w:val="zh-CN"/>
        </w:rPr>
      </w:pPr>
      <w:r>
        <w:rPr>
          <w:rFonts w:hint="eastAsia"/>
          <w:lang w:val="zh-CN"/>
        </w:rPr>
        <w:t>自然保护地体系</w:t>
      </w:r>
    </w:p>
    <w:p>
      <w:pPr>
        <w:snapToGrid w:val="0"/>
        <w:ind w:firstLine="643"/>
        <w:rPr>
          <w:rFonts w:ascii="仿宋_GB2312" w:hAnsi="仿宋_GB2312" w:cs="仿宋_GB2312"/>
          <w:b/>
          <w:szCs w:val="30"/>
          <w:u w:val="single"/>
        </w:rPr>
      </w:pPr>
      <w:r>
        <w:rPr>
          <w:rFonts w:hint="eastAsia" w:ascii="仿宋_GB2312" w:hAnsi="仿宋_GB2312" w:cs="仿宋_GB2312"/>
          <w:b/>
          <w:szCs w:val="30"/>
        </w:rPr>
        <w:t>构建科学合理的自然保护地体系</w:t>
      </w:r>
      <w:r>
        <w:rPr>
          <w:rFonts w:hint="eastAsia" w:ascii="仿宋_GB2312" w:hAnsi="仿宋_GB2312" w:cs="仿宋_GB2312"/>
          <w:b/>
          <w:bCs/>
          <w:szCs w:val="30"/>
        </w:rPr>
        <w:t>。</w:t>
      </w:r>
      <w:r>
        <w:rPr>
          <w:rFonts w:hint="eastAsia" w:ascii="仿宋_GB2312" w:hAnsi="仿宋_GB2312" w:cs="仿宋_GB2312"/>
          <w:szCs w:val="30"/>
        </w:rPr>
        <w:t>科学合理设置各类自然保护地，构建以自然保护区为基础，森林公园、湿地公园等自然公园为补充的自然保护地体系。</w:t>
      </w:r>
      <w:r>
        <w:rPr>
          <w:rFonts w:hint="eastAsia" w:ascii="仿宋_GB2312" w:hAnsi="仿宋_GB2312" w:cs="仿宋_GB2312"/>
          <w:b/>
          <w:szCs w:val="30"/>
          <w:u w:val="single"/>
        </w:rPr>
        <w:t>到2</w:t>
      </w:r>
      <w:r>
        <w:rPr>
          <w:rFonts w:ascii="仿宋_GB2312" w:hAnsi="仿宋_GB2312" w:cs="仿宋_GB2312"/>
          <w:b/>
          <w:szCs w:val="30"/>
          <w:u w:val="single"/>
        </w:rPr>
        <w:t>035</w:t>
      </w:r>
      <w:r>
        <w:rPr>
          <w:rFonts w:hint="eastAsia" w:ascii="仿宋_GB2312" w:hAnsi="仿宋_GB2312" w:cs="仿宋_GB2312"/>
          <w:b/>
          <w:szCs w:val="30"/>
          <w:u w:val="single"/>
        </w:rPr>
        <w:t>年全市基本建成1</w:t>
      </w:r>
      <w:r>
        <w:rPr>
          <w:rFonts w:ascii="仿宋_GB2312" w:hAnsi="仿宋_GB2312" w:cs="仿宋_GB2312"/>
          <w:b/>
          <w:szCs w:val="30"/>
          <w:u w:val="single"/>
        </w:rPr>
        <w:t>6</w:t>
      </w:r>
      <w:r>
        <w:rPr>
          <w:rFonts w:hint="eastAsia" w:ascii="仿宋_GB2312" w:hAnsi="仿宋_GB2312" w:cs="仿宋_GB2312"/>
          <w:b/>
          <w:szCs w:val="30"/>
          <w:u w:val="single"/>
        </w:rPr>
        <w:t>处自然保护地构成的自然保护地体系，自然保护地陆域面积占陆域国土面积比例达到上级下达任务量。</w:t>
      </w:r>
      <w:r>
        <w:rPr>
          <w:rFonts w:hint="eastAsia" w:ascii="仿宋_GB2312" w:hAnsi="仿宋_GB2312" w:cs="仿宋_GB2312"/>
          <w:szCs w:val="30"/>
        </w:rPr>
        <w:t>重点维护海洋山</w:t>
      </w:r>
      <w:r>
        <w:rPr>
          <w:rFonts w:hint="eastAsia" w:ascii="仿宋_GB2312" w:hAnsi="仿宋_GB2312" w:cs="仿宋_GB2312"/>
        </w:rPr>
        <w:t>—</w:t>
      </w:r>
      <w:r>
        <w:rPr>
          <w:rFonts w:hint="eastAsia" w:ascii="仿宋_GB2312" w:hAnsi="仿宋_GB2312" w:cs="仿宋_GB2312"/>
          <w:szCs w:val="30"/>
        </w:rPr>
        <w:t>都庞岭</w:t>
      </w:r>
      <w:r>
        <w:rPr>
          <w:rFonts w:hint="eastAsia" w:ascii="仿宋_GB2312" w:hAnsi="仿宋_GB2312" w:cs="仿宋_GB2312"/>
        </w:rPr>
        <w:t>—</w:t>
      </w:r>
      <w:r>
        <w:rPr>
          <w:rFonts w:hint="eastAsia" w:ascii="仿宋_GB2312" w:hAnsi="仿宋_GB2312" w:cs="仿宋_GB2312"/>
          <w:szCs w:val="30"/>
        </w:rPr>
        <w:t>花山、贺州市东北部山地、湘江</w:t>
      </w:r>
      <w:r>
        <w:rPr>
          <w:rFonts w:hint="eastAsia" w:ascii="仿宋_GB2312" w:hAnsi="仿宋_GB2312" w:cs="仿宋_GB2312"/>
        </w:rPr>
        <w:t>—</w:t>
      </w:r>
      <w:r>
        <w:rPr>
          <w:rFonts w:hint="eastAsia" w:ascii="仿宋_GB2312" w:hAnsi="仿宋_GB2312" w:cs="仿宋_GB2312"/>
          <w:szCs w:val="30"/>
        </w:rPr>
        <w:t>桂江流域水源涵养与生态多样性保护功能。</w:t>
      </w:r>
    </w:p>
    <w:p>
      <w:pPr>
        <w:pStyle w:val="4"/>
        <w:numPr>
          <w:ilvl w:val="0"/>
          <w:numId w:val="9"/>
        </w:numPr>
        <w:tabs>
          <w:tab w:val="left" w:pos="360"/>
        </w:tabs>
        <w:spacing w:before="156" w:beforeLines="50" w:line="460" w:lineRule="exact"/>
        <w:ind w:left="0" w:firstLine="0"/>
        <w:rPr>
          <w:rFonts w:ascii="Times New Roman" w:hAnsi="Times New Roman"/>
        </w:rPr>
      </w:pPr>
      <w:bookmarkStart w:id="175" w:name="_Toc3110"/>
      <w:bookmarkStart w:id="176" w:name="_Toc8828"/>
      <w:bookmarkStart w:id="177" w:name="_Toc13412"/>
      <w:bookmarkStart w:id="178" w:name="_Toc21678"/>
      <w:bookmarkStart w:id="179" w:name="_Toc21842"/>
      <w:bookmarkStart w:id="180" w:name="_Toc1886"/>
      <w:bookmarkStart w:id="181" w:name="_Toc11488"/>
      <w:bookmarkStart w:id="182" w:name="_Toc17706"/>
      <w:bookmarkStart w:id="183" w:name="_Toc213018253"/>
      <w:bookmarkStart w:id="184" w:name="_Toc22678_WPSOffice_Level2"/>
      <w:bookmarkStart w:id="185" w:name="_Toc3234"/>
      <w:r>
        <w:rPr>
          <w:rFonts w:hint="eastAsia" w:ascii="Times New Roman" w:hAnsi="Times New Roman"/>
        </w:rPr>
        <w:t>生态安全格局</w:t>
      </w:r>
      <w:bookmarkEnd w:id="175"/>
      <w:bookmarkEnd w:id="176"/>
      <w:bookmarkEnd w:id="177"/>
      <w:bookmarkEnd w:id="178"/>
      <w:bookmarkEnd w:id="179"/>
      <w:bookmarkEnd w:id="180"/>
      <w:bookmarkEnd w:id="181"/>
      <w:bookmarkEnd w:id="182"/>
      <w:bookmarkEnd w:id="183"/>
      <w:bookmarkEnd w:id="184"/>
      <w:bookmarkEnd w:id="185"/>
    </w:p>
    <w:p>
      <w:pPr>
        <w:pStyle w:val="5"/>
        <w:numPr>
          <w:ilvl w:val="0"/>
          <w:numId w:val="5"/>
        </w:numPr>
        <w:spacing w:before="156" w:after="0" w:afterLines="0"/>
        <w:ind w:left="0" w:firstLine="640"/>
        <w:rPr>
          <w:lang w:val="zh-CN"/>
        </w:rPr>
      </w:pPr>
      <w:r>
        <w:rPr>
          <w:rFonts w:hint="eastAsia"/>
          <w:lang w:val="zh-CN"/>
        </w:rPr>
        <w:t>生态安全格局</w:t>
      </w:r>
    </w:p>
    <w:p>
      <w:pPr>
        <w:ind w:firstLine="643"/>
        <w:rPr>
          <w:rFonts w:ascii="仿宋_GB2312" w:hAnsi="仿宋_GB2312" w:cs="仿宋_GB2312"/>
          <w:szCs w:val="30"/>
        </w:rPr>
      </w:pPr>
      <w:r>
        <w:rPr>
          <w:rFonts w:hint="eastAsia" w:ascii="仿宋_GB2312" w:hAnsi="仿宋_GB2312" w:cs="仿宋_GB2312"/>
          <w:b/>
          <w:szCs w:val="30"/>
        </w:rPr>
        <w:t>筑牢“两屏两廊多核”生态安全格局。</w:t>
      </w:r>
      <w:r>
        <w:rPr>
          <w:rFonts w:hint="eastAsia" w:ascii="仿宋_GB2312" w:hAnsi="仿宋_GB2312" w:cs="仿宋_GB2312"/>
          <w:szCs w:val="30"/>
        </w:rPr>
        <w:t>落实自治区赋予贺州市桂东北生态功能区定位，维护好萌渚岭水源涵养与生物多样性保护等关键生态区生态服务功能。以自然保护地为主体，以生态保护红线为底线，以贺江、桂江流域为骨架，持续巩固全市生态资源优势，筑牢“两屏两廊多核”生态安全格局，提升桂东北生态功能区水源涵养与生物多样性维护功能。</w:t>
      </w:r>
    </w:p>
    <w:p>
      <w:pPr>
        <w:ind w:firstLine="640"/>
        <w:rPr>
          <w:rFonts w:ascii="仿宋_GB2312" w:hAnsi="仿宋_GB2312" w:cs="仿宋_GB2312"/>
          <w:szCs w:val="30"/>
        </w:rPr>
      </w:pPr>
      <w:r>
        <w:rPr>
          <w:rFonts w:hint="eastAsia" w:ascii="仿宋_GB2312" w:hAnsi="仿宋_GB2312" w:cs="仿宋_GB2312"/>
          <w:szCs w:val="30"/>
        </w:rPr>
        <w:t>——“两屏”。西岭山—龟石水库西北生态屏障和姑婆山—滑水冲—大桂山—七冲东南部生态屏障。</w:t>
      </w:r>
    </w:p>
    <w:p>
      <w:pPr>
        <w:ind w:firstLine="640"/>
        <w:rPr>
          <w:rFonts w:ascii="仿宋_GB2312" w:hAnsi="仿宋_GB2312" w:cs="仿宋_GB2312"/>
          <w:szCs w:val="30"/>
        </w:rPr>
      </w:pPr>
      <w:r>
        <w:rPr>
          <w:rFonts w:hint="eastAsia" w:ascii="仿宋_GB2312" w:hAnsi="仿宋_GB2312" w:cs="仿宋_GB2312"/>
          <w:szCs w:val="30"/>
        </w:rPr>
        <w:t>——“两廊”。贺江水系生态走廊（含大宁河、马尾河、安东江等）、桂江水系生态走廊（含思勤江、富群河、桂花河等）。</w:t>
      </w:r>
    </w:p>
    <w:p>
      <w:pPr>
        <w:ind w:firstLine="640"/>
        <w:rPr>
          <w:rFonts w:ascii="仿宋_GB2312" w:hAnsi="仿宋_GB2312" w:cs="仿宋_GB2312"/>
          <w:szCs w:val="30"/>
        </w:rPr>
      </w:pPr>
      <w:r>
        <w:rPr>
          <w:rFonts w:hint="eastAsia" w:ascii="仿宋_GB2312" w:hAnsi="仿宋_GB2312" w:cs="仿宋_GB2312"/>
          <w:szCs w:val="30"/>
        </w:rPr>
        <w:t>——“多核”。广西大桂山鳄蜥国家级自然保护区、广西姑婆山自治区级自然保护区、广西大桂山国家森林公园、广西贺州合面狮湖国家湿地公园等重要生态核心区域。</w:t>
      </w:r>
    </w:p>
    <w:p>
      <w:pPr>
        <w:pStyle w:val="5"/>
        <w:numPr>
          <w:ilvl w:val="0"/>
          <w:numId w:val="5"/>
        </w:numPr>
        <w:spacing w:before="156" w:after="0" w:afterLines="0"/>
        <w:ind w:left="0" w:firstLine="640"/>
        <w:rPr>
          <w:lang w:val="zh-CN"/>
        </w:rPr>
      </w:pPr>
      <w:r>
        <w:rPr>
          <w:rFonts w:hint="eastAsia"/>
          <w:lang w:val="zh-CN"/>
        </w:rPr>
        <w:t>关键生态区引导管控</w:t>
      </w:r>
    </w:p>
    <w:p>
      <w:pPr>
        <w:ind w:firstLine="643"/>
        <w:rPr>
          <w:rFonts w:ascii="仿宋_GB2312" w:hAnsi="仿宋_GB2312" w:cs="仿宋_GB2312"/>
          <w:b/>
          <w:szCs w:val="30"/>
        </w:rPr>
      </w:pPr>
      <w:r>
        <w:rPr>
          <w:rFonts w:hint="eastAsia" w:ascii="仿宋_GB2312" w:hAnsi="仿宋_GB2312" w:cs="仿宋_GB2312"/>
          <w:b/>
          <w:szCs w:val="30"/>
        </w:rPr>
        <w:t>划定“5+2”个关键生态区。</w:t>
      </w:r>
      <w:r>
        <w:rPr>
          <w:rFonts w:hint="eastAsia" w:ascii="仿宋_GB2312" w:hAnsi="仿宋_GB2312" w:cs="仿宋_GB2312"/>
          <w:szCs w:val="30"/>
        </w:rPr>
        <w:t>落实自治区关键生态区管控引导要求，在生态保护红线相对集中连片区划定5个关键生态区，重点分布在贺州市东部山脉、大桂山山脉、花山余脉、昭平县西部山脉。在重要江河流域划定2条河流生态廊道，分别为贺江、桂江。</w:t>
      </w:r>
    </w:p>
    <w:p>
      <w:pPr>
        <w:ind w:firstLine="643"/>
      </w:pPr>
      <w:r>
        <w:rPr>
          <w:rFonts w:hint="eastAsia" w:ascii="仿宋_GB2312" w:hAnsi="仿宋_GB2312" w:cs="仿宋_GB2312"/>
          <w:b/>
          <w:szCs w:val="30"/>
        </w:rPr>
        <w:t>加强关键生态区引导管控。</w:t>
      </w:r>
      <w:r>
        <w:rPr>
          <w:rFonts w:hint="eastAsia" w:ascii="仿宋_GB2312" w:hAnsi="仿宋_GB2312" w:cs="仿宋_GB2312"/>
          <w:szCs w:val="30"/>
        </w:rPr>
        <w:t>以提供生态产品为主，适度发展生态旅游、生态种养业。禁止在生态多样性保护功能区引进外来物种，限制或禁止各种损害栖息地的经济社会活动和生产方式。引导实施污染治理、退耕还林还草、植被恢复和水土流失治理等生态修复工程，提升水资源涵养与生态多样性维护功能。严格河流生态廊道岸线管控，强化涉河建设项目和活动管理，推进岸线利用项目准入正面清单管控，防止侵占河流廊道空间。</w:t>
      </w:r>
    </w:p>
    <w:p>
      <w:pPr>
        <w:pStyle w:val="5"/>
        <w:numPr>
          <w:ilvl w:val="0"/>
          <w:numId w:val="5"/>
        </w:numPr>
        <w:spacing w:before="156" w:after="0" w:afterLines="0"/>
        <w:ind w:left="0" w:firstLine="640"/>
        <w:rPr>
          <w:lang w:val="zh-CN"/>
        </w:rPr>
      </w:pPr>
      <w:r>
        <w:rPr>
          <w:rFonts w:hint="eastAsia"/>
          <w:lang w:val="zh-CN"/>
        </w:rPr>
        <w:t>风景名胜区保护与利用</w:t>
      </w:r>
    </w:p>
    <w:p>
      <w:pPr>
        <w:pStyle w:val="2"/>
        <w:ind w:firstLine="643"/>
        <w:rPr>
          <w:rFonts w:ascii="仿宋_GB2312" w:hAnsi="仿宋_GB2312" w:cs="仿宋_GB2312"/>
          <w:szCs w:val="32"/>
        </w:rPr>
      </w:pPr>
      <w:r>
        <w:rPr>
          <w:rFonts w:hint="eastAsia" w:ascii="仿宋_GB2312" w:hAnsi="仿宋_GB2312" w:cs="仿宋_GB2312"/>
          <w:b/>
          <w:szCs w:val="32"/>
        </w:rPr>
        <w:t>合理利用风景名胜区资源</w:t>
      </w:r>
      <w:r>
        <w:rPr>
          <w:rFonts w:hint="eastAsia" w:ascii="仿宋_GB2312" w:hAnsi="仿宋_GB2312" w:cs="仿宋_GB2312"/>
          <w:b/>
          <w:bCs/>
          <w:szCs w:val="32"/>
        </w:rPr>
        <w:t>。</w:t>
      </w:r>
      <w:r>
        <w:rPr>
          <w:rFonts w:hint="eastAsia" w:ascii="仿宋_GB2312" w:hAnsi="仿宋_GB2312" w:cs="仿宋_GB2312"/>
          <w:szCs w:val="32"/>
        </w:rPr>
        <w:t>按照科学规划、统一管理、严格保护、永续利用的原则，落实风景名胜区管控要求，禁止开山、采石、开矿、开荒、修坟立碑等破坏景观、植被和地形地貌的活动。合理利用风景名胜资源，适度开展健康有益的游览观光、文化娱乐、知识科普活动，科学推动合理推动生态产品价值实现。</w:t>
      </w:r>
    </w:p>
    <w:p>
      <w:pPr>
        <w:pStyle w:val="4"/>
        <w:numPr>
          <w:ilvl w:val="0"/>
          <w:numId w:val="9"/>
        </w:numPr>
        <w:tabs>
          <w:tab w:val="left" w:pos="360"/>
        </w:tabs>
        <w:spacing w:before="156" w:beforeLines="50" w:line="460" w:lineRule="exact"/>
        <w:ind w:left="0" w:firstLine="0"/>
        <w:rPr>
          <w:rFonts w:ascii="Times New Roman" w:hAnsi="Times New Roman"/>
        </w:rPr>
      </w:pPr>
      <w:bookmarkStart w:id="186" w:name="_Toc32425"/>
      <w:bookmarkStart w:id="187" w:name="_Toc410"/>
      <w:bookmarkStart w:id="188" w:name="_Toc9855"/>
      <w:bookmarkStart w:id="189" w:name="_Toc23269"/>
      <w:bookmarkStart w:id="190" w:name="_Toc2103_WPSOffice_Level2"/>
      <w:bookmarkStart w:id="191" w:name="_Toc19752"/>
      <w:bookmarkStart w:id="192" w:name="_Toc213018254"/>
      <w:bookmarkStart w:id="193" w:name="_Toc9258"/>
      <w:r>
        <w:rPr>
          <w:rFonts w:hint="eastAsia" w:ascii="Times New Roman" w:hAnsi="Times New Roman"/>
        </w:rPr>
        <w:t>生态产品价值实现</w:t>
      </w:r>
      <w:bookmarkEnd w:id="186"/>
      <w:bookmarkEnd w:id="187"/>
      <w:bookmarkEnd w:id="188"/>
      <w:bookmarkEnd w:id="189"/>
      <w:bookmarkEnd w:id="190"/>
      <w:bookmarkEnd w:id="191"/>
      <w:bookmarkEnd w:id="192"/>
      <w:bookmarkEnd w:id="193"/>
    </w:p>
    <w:p>
      <w:pPr>
        <w:pStyle w:val="5"/>
        <w:numPr>
          <w:ilvl w:val="0"/>
          <w:numId w:val="5"/>
        </w:numPr>
        <w:spacing w:before="156" w:after="0" w:afterLines="0"/>
        <w:ind w:left="0" w:firstLine="640"/>
        <w:rPr>
          <w:lang w:val="zh-CN"/>
        </w:rPr>
      </w:pPr>
      <w:r>
        <w:rPr>
          <w:rFonts w:hint="eastAsia"/>
          <w:lang w:val="zh-CN"/>
        </w:rPr>
        <w:t>试点推动</w:t>
      </w:r>
    </w:p>
    <w:p>
      <w:pPr>
        <w:widowControl/>
        <w:ind w:firstLine="643"/>
        <w:rPr>
          <w:rFonts w:ascii="仿宋_GB2312" w:hAnsi="仿宋_GB2312" w:cs="仿宋_GB2312"/>
        </w:rPr>
      </w:pPr>
      <w:r>
        <w:rPr>
          <w:rFonts w:hint="eastAsia" w:ascii="仿宋_GB2312" w:hAnsi="仿宋_GB2312" w:cs="仿宋_GB2312"/>
          <w:b/>
          <w:bCs/>
        </w:rPr>
        <w:t>以试点推动市域生态产品价值实现。</w:t>
      </w:r>
      <w:r>
        <w:rPr>
          <w:rFonts w:hint="eastAsia" w:ascii="仿宋_GB2312" w:hAnsi="仿宋_GB2312" w:cs="仿宋_GB2312"/>
        </w:rPr>
        <w:t>依托昭平县打造生态产品价值实现自治区级试点县，加强与自然资源资产产权制度改革、绿色发展改革集成、生态保护补偿、国家生态文明示范县建设、乡村振兴等政策衔接，发挥国土空间规划的引领作用，筑牢生态底线，巩固自然资源减排增汇的作用，打造一批生态产品价值试点示范基地。</w:t>
      </w:r>
    </w:p>
    <w:p>
      <w:pPr>
        <w:pStyle w:val="5"/>
        <w:numPr>
          <w:ilvl w:val="0"/>
          <w:numId w:val="5"/>
        </w:numPr>
        <w:spacing w:before="156" w:after="0" w:afterLines="0"/>
        <w:ind w:left="0" w:firstLine="640"/>
        <w:rPr>
          <w:lang w:val="zh-CN"/>
        </w:rPr>
      </w:pPr>
      <w:r>
        <w:rPr>
          <w:rFonts w:hint="eastAsia"/>
          <w:lang w:val="zh-CN"/>
        </w:rPr>
        <w:t>生态价值转化措施</w:t>
      </w:r>
    </w:p>
    <w:p>
      <w:pPr>
        <w:widowControl/>
        <w:ind w:firstLine="643"/>
        <w:rPr>
          <w:rFonts w:ascii="仿宋_GB2312" w:hAnsi="仿宋_GB2312" w:cs="仿宋_GB2312"/>
        </w:rPr>
      </w:pPr>
      <w:r>
        <w:rPr>
          <w:rFonts w:hint="eastAsia" w:ascii="仿宋_GB2312" w:hAnsi="仿宋_GB2312" w:cs="仿宋_GB2312"/>
          <w:b/>
          <w:bCs/>
        </w:rPr>
        <w:t>提升优势生态资源碳汇。</w:t>
      </w:r>
      <w:r>
        <w:rPr>
          <w:rFonts w:hint="eastAsia" w:ascii="仿宋_GB2312" w:hAnsi="仿宋_GB2312" w:cs="仿宋_GB2312"/>
        </w:rPr>
        <w:t>依托贺州市大桂山、姑婆山山脉及昭平县等丰富的森林资源及河湖、湿地、岩溶资源，深入推进国土绿化行动，主要在林场、自然保护地及国家储备林等区域，开发碳汇林项目及陆域自然碳库建设工程。</w:t>
      </w:r>
    </w:p>
    <w:p>
      <w:pPr>
        <w:widowControl/>
        <w:ind w:firstLine="643"/>
        <w:rPr>
          <w:rFonts w:ascii="仿宋_GB2312" w:hAnsi="仿宋_GB2312" w:cs="仿宋_GB2312"/>
          <w:b/>
          <w:bCs/>
        </w:rPr>
      </w:pPr>
      <w:r>
        <w:rPr>
          <w:rFonts w:hint="eastAsia" w:ascii="仿宋_GB2312" w:hAnsi="仿宋_GB2312" w:cs="仿宋_GB2312"/>
          <w:b/>
          <w:bCs/>
        </w:rPr>
        <w:t>生态产品供给能力提升。</w:t>
      </w:r>
      <w:r>
        <w:rPr>
          <w:rFonts w:hint="eastAsia" w:ascii="仿宋_GB2312" w:hAnsi="仿宋_GB2312" w:cs="仿宋_GB2312"/>
        </w:rPr>
        <w:t>根据自然生态本底条件，坚持山水林田湖草沙系统治理，加强重要生境斑块与天然林保护与修复，及生态廊道建设，开展生态系统功能受损地区的生态保护修复。</w:t>
      </w:r>
    </w:p>
    <w:p>
      <w:pPr>
        <w:widowControl/>
        <w:ind w:firstLine="643"/>
        <w:rPr>
          <w:rFonts w:ascii="仿宋_GB2312" w:hAnsi="仿宋_GB2312" w:cs="仿宋_GB2312"/>
        </w:rPr>
      </w:pPr>
      <w:r>
        <w:rPr>
          <w:rFonts w:hint="eastAsia" w:ascii="仿宋_GB2312" w:hAnsi="仿宋_GB2312" w:cs="仿宋_GB2312"/>
          <w:b/>
          <w:bCs/>
        </w:rPr>
        <w:t>促进生态产品价值升值。</w:t>
      </w:r>
      <w:r>
        <w:rPr>
          <w:rFonts w:hint="eastAsia" w:ascii="仿宋_GB2312" w:hAnsi="仿宋_GB2312" w:cs="仿宋_GB2312"/>
        </w:rPr>
        <w:t>通过国家有机产品、绿色食品、低碳产品等品牌认证、生态标识等方式提升生态产品附加值，打好贺州市“绿色牌”“长寿牌”“富硒牌”。</w:t>
      </w:r>
    </w:p>
    <w:p>
      <w:pPr>
        <w:widowControl/>
        <w:ind w:firstLine="643"/>
        <w:rPr>
          <w:rFonts w:eastAsia="仿宋"/>
        </w:rPr>
      </w:pPr>
      <w:r>
        <w:rPr>
          <w:rFonts w:hint="eastAsia" w:ascii="仿宋_GB2312" w:hAnsi="仿宋_GB2312" w:cs="仿宋_GB2312"/>
          <w:b/>
          <w:bCs/>
        </w:rPr>
        <w:t>开展生态产业化经营。</w:t>
      </w:r>
      <w:r>
        <w:rPr>
          <w:rFonts w:hint="eastAsia" w:ascii="仿宋_GB2312" w:hAnsi="仿宋_GB2312" w:cs="仿宋_GB2312"/>
        </w:rPr>
        <w:t>依托森林、湿地、水等优质自然资源，开展生态产业化经营，发展良种苗木繁育、经济林、林下种植养殖、水产养殖等特色产业。鼓励依托优美自然风光及古村落、古建筑等历史文化遗产，发展生态旅游、药食同源康养等产业。适度发展山泉水生产及温泉养生、大数据、气象公园等产业，推动生态优势转化为产业优势，促进生态+产业融合。</w:t>
      </w:r>
    </w:p>
    <w:p>
      <w:pPr>
        <w:pStyle w:val="5"/>
        <w:numPr>
          <w:ilvl w:val="0"/>
          <w:numId w:val="5"/>
        </w:numPr>
        <w:spacing w:before="156" w:after="0" w:afterLines="0"/>
        <w:ind w:left="0" w:firstLine="640"/>
        <w:rPr>
          <w:lang w:val="zh-CN"/>
        </w:rPr>
      </w:pPr>
      <w:r>
        <w:rPr>
          <w:rFonts w:hint="eastAsia"/>
          <w:lang w:val="zh-CN"/>
        </w:rPr>
        <w:t>机制保障</w:t>
      </w:r>
    </w:p>
    <w:p>
      <w:pPr>
        <w:widowControl/>
        <w:ind w:firstLine="640"/>
        <w:rPr>
          <w:rFonts w:ascii="仿宋_GB2312" w:hAnsi="仿宋_GB2312" w:cs="仿宋_GB2312"/>
        </w:rPr>
      </w:pPr>
      <w:r>
        <w:rPr>
          <w:rFonts w:hint="eastAsia" w:ascii="仿宋_GB2312" w:hAnsi="仿宋_GB2312" w:cs="仿宋_GB2312"/>
        </w:rPr>
        <w:t>构建技术评估体系，开展自然资源调查监测评价和统一确权登记，清晰界定自然资源资产的产权主体和边界，摸清生态产品底数，结合国土空间规划“双评价”等相关成果，建立生态产品开发利用评价体系，核算生态系统生产总值（GEP）。积极探索碳汇权益交易中心，鼓励搭建“生态银行”等自然资源资产管理平台。建立生态产品价值考核机制，探索建立动态监测制度；探索建立</w:t>
      </w:r>
      <w:r>
        <w:rPr>
          <w:rFonts w:hint="eastAsia" w:ascii="仿宋_GB2312" w:hAnsi="仿宋_GB2312" w:cs="仿宋_GB2312"/>
          <w:kern w:val="0"/>
          <w:szCs w:val="30"/>
          <w:lang w:bidi="ar"/>
        </w:rPr>
        <w:t>健全重点生态功能区县域生态保护补偿机制及</w:t>
      </w:r>
      <w:r>
        <w:rPr>
          <w:rFonts w:hint="eastAsia" w:ascii="仿宋_GB2312" w:hAnsi="仿宋_GB2312" w:cs="仿宋_GB2312"/>
        </w:rPr>
        <w:t>推动建立贺江、桂江流域等珠江上游生态保护补偿机制；探索建立国土空间规划和多元生态产品价值实现统筹协调、高效联动的运行机制，共同推动各项改革与生态产品价值实现深度融合。</w:t>
      </w:r>
    </w:p>
    <w:p>
      <w:pPr>
        <w:pStyle w:val="3"/>
        <w:keepNext w:val="0"/>
        <w:widowControl/>
        <w:numPr>
          <w:ilvl w:val="0"/>
          <w:numId w:val="3"/>
        </w:numPr>
        <w:autoSpaceDE w:val="0"/>
        <w:autoSpaceDN w:val="0"/>
        <w:rPr>
          <w:rFonts w:ascii="方正小标宋_GBK" w:hAnsi="方正小标宋_GBK" w:cs="方正小标宋_GBK"/>
          <w:szCs w:val="36"/>
          <w:lang w:val="zh-CN"/>
        </w:rPr>
      </w:pPr>
      <w:bookmarkStart w:id="194" w:name="_Toc16456"/>
      <w:bookmarkStart w:id="195" w:name="_Toc3091_WPSOffice_Level1"/>
      <w:bookmarkStart w:id="196" w:name="_Toc1461"/>
      <w:bookmarkStart w:id="197" w:name="_Toc27642"/>
      <w:bookmarkStart w:id="198" w:name="_Toc13673"/>
      <w:bookmarkStart w:id="199" w:name="_Toc30310"/>
      <w:bookmarkStart w:id="200" w:name="_Toc213018255"/>
      <w:bookmarkStart w:id="201" w:name="_Toc18481"/>
      <w:bookmarkStart w:id="202" w:name="_Toc28733"/>
      <w:bookmarkStart w:id="203" w:name="_Toc20082"/>
      <w:r>
        <w:rPr>
          <w:rFonts w:hint="eastAsia" w:ascii="方正小标宋_GBK" w:hAnsi="方正小标宋_GBK" w:cs="方正小标宋_GBK"/>
          <w:szCs w:val="36"/>
          <w:lang w:val="zh-CN"/>
        </w:rPr>
        <w:t>城乡发展空间</w:t>
      </w:r>
      <w:bookmarkEnd w:id="194"/>
      <w:bookmarkEnd w:id="195"/>
      <w:bookmarkEnd w:id="196"/>
      <w:bookmarkEnd w:id="197"/>
      <w:bookmarkEnd w:id="198"/>
      <w:bookmarkEnd w:id="199"/>
      <w:bookmarkEnd w:id="200"/>
      <w:bookmarkEnd w:id="201"/>
      <w:bookmarkEnd w:id="202"/>
      <w:bookmarkEnd w:id="203"/>
    </w:p>
    <w:p>
      <w:pPr>
        <w:pStyle w:val="4"/>
        <w:numPr>
          <w:ilvl w:val="0"/>
          <w:numId w:val="10"/>
        </w:numPr>
        <w:tabs>
          <w:tab w:val="left" w:pos="360"/>
        </w:tabs>
        <w:spacing w:before="156" w:beforeLines="50" w:line="460" w:lineRule="exact"/>
        <w:ind w:left="0" w:firstLine="0"/>
        <w:rPr>
          <w:rFonts w:ascii="Times New Roman" w:hAnsi="Times New Roman"/>
        </w:rPr>
      </w:pPr>
      <w:bookmarkStart w:id="204" w:name="_Toc25749_WPSOffice_Level2"/>
      <w:bookmarkStart w:id="205" w:name="_Toc128144617"/>
      <w:bookmarkStart w:id="206" w:name="_Toc7545"/>
      <w:bookmarkStart w:id="207" w:name="_Toc213018256"/>
      <w:bookmarkStart w:id="208" w:name="_Toc29619"/>
      <w:bookmarkStart w:id="209" w:name="_Toc21505"/>
      <w:bookmarkStart w:id="210" w:name="_Toc21470"/>
      <w:bookmarkStart w:id="211" w:name="_Toc21345"/>
      <w:bookmarkStart w:id="212" w:name="_Toc21525"/>
      <w:bookmarkStart w:id="213" w:name="_Toc22565"/>
      <w:bookmarkStart w:id="214" w:name="_Toc24966"/>
      <w:bookmarkStart w:id="215" w:name="_Toc31050"/>
      <w:r>
        <w:rPr>
          <w:rFonts w:hint="eastAsia" w:ascii="Times New Roman" w:hAnsi="Times New Roman"/>
        </w:rPr>
        <w:t>城镇体系规划</w:t>
      </w:r>
      <w:bookmarkEnd w:id="204"/>
      <w:bookmarkEnd w:id="205"/>
      <w:bookmarkEnd w:id="206"/>
      <w:bookmarkEnd w:id="207"/>
      <w:bookmarkEnd w:id="208"/>
      <w:bookmarkEnd w:id="209"/>
      <w:bookmarkEnd w:id="210"/>
    </w:p>
    <w:p>
      <w:pPr>
        <w:pStyle w:val="5"/>
        <w:numPr>
          <w:ilvl w:val="0"/>
          <w:numId w:val="5"/>
        </w:numPr>
        <w:spacing w:before="156" w:after="0" w:afterLines="0"/>
        <w:ind w:left="0" w:firstLine="640"/>
        <w:rPr>
          <w:lang w:val="zh-CN"/>
        </w:rPr>
      </w:pPr>
      <w:r>
        <w:rPr>
          <w:rFonts w:hint="eastAsia"/>
          <w:lang w:val="zh-CN"/>
        </w:rPr>
        <w:t>城镇发展格局</w:t>
      </w:r>
    </w:p>
    <w:p>
      <w:pPr>
        <w:ind w:firstLine="643"/>
        <w:rPr>
          <w:rFonts w:ascii="仿宋_GB2312" w:hAnsi="仿宋_GB2312" w:cs="仿宋_GB2312"/>
        </w:rPr>
      </w:pPr>
      <w:r>
        <w:rPr>
          <w:rFonts w:hint="eastAsia" w:ascii="仿宋_GB2312" w:hAnsi="仿宋_GB2312" w:cs="仿宋_GB2312"/>
          <w:b/>
          <w:lang w:bidi="ar"/>
        </w:rPr>
        <w:t>构建“一主四副、三轴四区多节点”的城镇发展格局。</w:t>
      </w:r>
      <w:r>
        <w:rPr>
          <w:rFonts w:hint="eastAsia" w:ascii="仿宋_GB2312" w:hAnsi="仿宋_GB2312" w:cs="仿宋_GB2312"/>
          <w:lang w:bidi="ar"/>
        </w:rPr>
        <w:t>壮大贺州市中心城区，培育提升昭平县、钟山县、富川</w:t>
      </w:r>
      <w:r>
        <w:rPr>
          <w:rFonts w:hint="eastAsia" w:ascii="仿宋_GB2312" w:hAnsi="仿宋_GB2312" w:cs="仿宋_GB2312"/>
        </w:rPr>
        <w:t>瑶族自治县</w:t>
      </w:r>
      <w:r>
        <w:rPr>
          <w:rFonts w:hint="eastAsia" w:ascii="仿宋_GB2312" w:hAnsi="仿宋_GB2312" w:cs="仿宋_GB2312"/>
          <w:lang w:bidi="ar"/>
        </w:rPr>
        <w:t>和信都片区综合承载能力，推进以县城为重要载体的城镇化建设，引导城镇点—轴式发展。</w:t>
      </w:r>
    </w:p>
    <w:p>
      <w:pPr>
        <w:ind w:firstLine="643"/>
        <w:rPr>
          <w:rFonts w:ascii="仿宋_GB2312" w:hAnsi="仿宋_GB2312" w:cs="仿宋_GB2312"/>
        </w:rPr>
      </w:pPr>
      <w:r>
        <w:rPr>
          <w:rFonts w:hint="eastAsia" w:ascii="仿宋_GB2312" w:hAnsi="仿宋_GB2312" w:cs="仿宋_GB2312"/>
          <w:b/>
          <w:bCs/>
        </w:rPr>
        <w:t>——“一主”。</w:t>
      </w:r>
      <w:r>
        <w:rPr>
          <w:rFonts w:hint="eastAsia" w:ascii="仿宋_GB2312" w:hAnsi="仿宋_GB2312" w:cs="仿宋_GB2312"/>
        </w:rPr>
        <w:t>即贺州市中心城区，作为全市发展极核，加强人口和产业集聚，合理扩大城区规模，完善市域综合服务功能，增强辐射带动能力。</w:t>
      </w:r>
    </w:p>
    <w:p>
      <w:pPr>
        <w:ind w:firstLine="643"/>
        <w:rPr>
          <w:rFonts w:ascii="仿宋_GB2312" w:hAnsi="仿宋_GB2312" w:cs="仿宋_GB2312"/>
        </w:rPr>
      </w:pPr>
      <w:r>
        <w:rPr>
          <w:rFonts w:hint="eastAsia" w:ascii="仿宋_GB2312" w:hAnsi="仿宋_GB2312" w:cs="仿宋_GB2312"/>
          <w:b/>
          <w:bCs/>
        </w:rPr>
        <w:t>——“四副”。</w:t>
      </w:r>
      <w:r>
        <w:rPr>
          <w:rFonts w:hint="eastAsia" w:ascii="仿宋_GB2312" w:hAnsi="仿宋_GB2312" w:cs="仿宋_GB2312"/>
        </w:rPr>
        <w:t>即昭平县城、钟山县城、富川县城和信都片区四个市域副中心城市。昭平县城建设生态康养产业集聚区，打造宜居宜业宜游山水森林城；钟山县城重点推进工业转型升级和新型城镇化建设，与中心城区融合发展；富川县城建设生态循环产业集聚区，完善综合服务设施建设，打造粤港澳大湾区康养慢城；信都片区（含信都镇、仁义镇、铺门镇）扩能提质，加强重点区域建设，打造广西东融先行示范区门户。</w:t>
      </w:r>
    </w:p>
    <w:p>
      <w:pPr>
        <w:ind w:firstLine="643"/>
        <w:rPr>
          <w:rFonts w:ascii="仿宋_GB2312" w:hAnsi="仿宋_GB2312" w:cs="仿宋_GB2312"/>
        </w:rPr>
      </w:pPr>
      <w:r>
        <w:rPr>
          <w:rFonts w:hint="eastAsia" w:ascii="仿宋_GB2312" w:hAnsi="仿宋_GB2312" w:cs="仿宋_GB2312"/>
          <w:b/>
          <w:bCs/>
        </w:rPr>
        <w:t>——“三轴”。</w:t>
      </w:r>
      <w:r>
        <w:rPr>
          <w:rFonts w:hint="eastAsia" w:ascii="仿宋_GB2312" w:hAnsi="仿宋_GB2312" w:cs="仿宋_GB2312"/>
        </w:rPr>
        <w:t>即城镇发展主轴、东西城镇发展次轴和南北城镇发展次轴。城镇发展主轴沿贵广高铁、贺江和广贺高速延伸，串联贺州市中心城区、钟山县城、信都镇、灵峰镇、仁义镇等主要城镇，重点承接粤港澳大湾区产业转移，集聚产业、人口发展；东西城镇发展次轴为依托柳州至贺州至韶关铁路、贺巴高速，串联昭平县城、南乡镇、黄姚镇等重点城镇，</w:t>
      </w:r>
      <w:r>
        <w:rPr>
          <w:rFonts w:ascii="仿宋_GB2312" w:hAnsi="仿宋_GB2312" w:cs="仿宋_GB2312"/>
        </w:rPr>
        <w:t>重点向东对接广东省、向西对接梧州、来宾市等</w:t>
      </w:r>
      <w:r>
        <w:rPr>
          <w:rFonts w:hint="eastAsia" w:ascii="仿宋_GB2312" w:hAnsi="仿宋_GB2312" w:cs="仿宋_GB2312"/>
        </w:rPr>
        <w:t>市场需求；南北城镇发展次轴为依托桂梧高速和永贺高速，串联富川县城、马江镇、回龙镇、莲山镇等重要城镇，重点服务梧州、来宾、贵港市等区内市场需求。</w:t>
      </w:r>
    </w:p>
    <w:p>
      <w:pPr>
        <w:ind w:firstLine="643"/>
        <w:rPr>
          <w:rFonts w:ascii="仿宋_GB2312" w:hAnsi="仿宋_GB2312" w:cs="仿宋_GB2312"/>
        </w:rPr>
      </w:pPr>
      <w:r>
        <w:rPr>
          <w:rFonts w:hint="eastAsia" w:ascii="仿宋_GB2312" w:hAnsi="仿宋_GB2312" w:cs="仿宋_GB2312"/>
          <w:b/>
          <w:bCs/>
        </w:rPr>
        <w:t>——“四区”。</w:t>
      </w:r>
      <w:r>
        <w:rPr>
          <w:rFonts w:hint="eastAsia" w:ascii="仿宋_GB2312" w:hAnsi="仿宋_GB2312" w:cs="仿宋_GB2312"/>
        </w:rPr>
        <w:t>即贺八平钟一体化发展区、东融先行发展区、南部特色发展区以及北部休闲农旅发展区。贺八平钟一体化发展区是未来贺州市发展的核心区域，包括贺州市中心城区、八步区、平桂区和钟山县，重点发展现代服务业、绿色高端碳酸钙产业、黄金珠宝、生物制药、信息技术、家居家具及石材加工等。东融先行发展区以信都为中心，包括步头镇、桂岭镇、开山镇、里松镇、灵峰镇、铺门镇、大宁镇、仁义镇等乡镇，重点发展生态高端陶瓷、新能源、生态旅游、现代特色农业、林业、冶金循环、绿色纺织、电子信息产业等产业。南部特色发展区以昭平县城为中心，包括昭平县马江镇、黄姚镇及钟山县清塘镇等乡镇，重点发展林业生态经济产业、电力工业、农副产品加工和旅游业等产业。北部休闲农旅发展区以富川县城为中心，包括白沙镇、莲山镇、福利镇等乡镇，重点发展农林产品加工、休闲旅游业、电子信息、生物医药和新材料等。</w:t>
      </w:r>
    </w:p>
    <w:p>
      <w:pPr>
        <w:ind w:firstLine="643"/>
        <w:rPr>
          <w:rFonts w:ascii="仿宋_GB2312" w:hAnsi="仿宋_GB2312" w:cs="仿宋_GB2312"/>
        </w:rPr>
      </w:pPr>
      <w:r>
        <w:rPr>
          <w:rFonts w:hint="eastAsia" w:ascii="仿宋_GB2312" w:hAnsi="仿宋_GB2312" w:cs="仿宋_GB2312"/>
          <w:b/>
          <w:bCs/>
        </w:rPr>
        <w:t>——“多节点”。</w:t>
      </w:r>
      <w:r>
        <w:rPr>
          <w:rFonts w:hint="eastAsia" w:ascii="仿宋_GB2312" w:hAnsi="仿宋_GB2312" w:cs="仿宋_GB2312"/>
        </w:rPr>
        <w:t>即南乡镇、桂岭镇、黄姚镇、马江镇、公安镇和莲山镇六个市域重要节点城镇，作为县域副中心城镇带动辐射周边，促进城乡融合和乡村振兴。</w:t>
      </w:r>
    </w:p>
    <w:p>
      <w:pPr>
        <w:pStyle w:val="5"/>
        <w:numPr>
          <w:ilvl w:val="0"/>
          <w:numId w:val="5"/>
        </w:numPr>
        <w:spacing w:before="156" w:after="0" w:afterLines="0"/>
        <w:ind w:left="0" w:firstLine="640"/>
        <w:rPr>
          <w:lang w:val="zh-CN"/>
        </w:rPr>
      </w:pPr>
      <w:r>
        <w:rPr>
          <w:rFonts w:hint="eastAsia"/>
          <w:lang w:val="zh-CN"/>
        </w:rPr>
        <w:t>城镇体系</w:t>
      </w:r>
    </w:p>
    <w:p>
      <w:pPr>
        <w:ind w:firstLine="640"/>
        <w:rPr>
          <w:rFonts w:ascii="仿宋_GB2312" w:hAnsi="仿宋_GB2312" w:cs="仿宋_GB2312"/>
          <w:b/>
        </w:rPr>
      </w:pPr>
      <w:r>
        <w:rPr>
          <w:rFonts w:hint="eastAsia" w:ascii="仿宋_GB2312" w:hAnsi="仿宋_GB2312" w:cs="仿宋_GB2312"/>
          <w:lang w:bidi="ar"/>
        </w:rPr>
        <w:t>到2025年，市域常住总人口209万人，城镇人口规模1</w:t>
      </w:r>
      <w:r>
        <w:rPr>
          <w:rFonts w:ascii="仿宋_GB2312" w:hAnsi="仿宋_GB2312" w:cs="仿宋_GB2312"/>
          <w:lang w:bidi="ar"/>
        </w:rPr>
        <w:t>06.59</w:t>
      </w:r>
      <w:r>
        <w:rPr>
          <w:rFonts w:hint="eastAsia" w:ascii="仿宋_GB2312" w:hAnsi="仿宋_GB2312" w:cs="仿宋_GB2312"/>
          <w:lang w:bidi="ar"/>
        </w:rPr>
        <w:t>万人，常住人口城镇化率达到5</w:t>
      </w:r>
      <w:r>
        <w:rPr>
          <w:rFonts w:ascii="仿宋_GB2312" w:hAnsi="仿宋_GB2312" w:cs="仿宋_GB2312"/>
          <w:lang w:bidi="ar"/>
        </w:rPr>
        <w:t>1</w:t>
      </w:r>
      <w:r>
        <w:rPr>
          <w:rFonts w:hint="eastAsia" w:ascii="仿宋_GB2312" w:hAnsi="仿宋_GB2312" w:cs="仿宋_GB2312"/>
          <w:lang w:bidi="ar"/>
        </w:rPr>
        <w:t>%左右；到2035年市域常住总人口221万人，城镇人口规模144.58万人，常住人口城镇化率达到65%左右。</w:t>
      </w:r>
    </w:p>
    <w:p>
      <w:pPr>
        <w:pStyle w:val="4"/>
        <w:numPr>
          <w:ilvl w:val="0"/>
          <w:numId w:val="10"/>
        </w:numPr>
        <w:tabs>
          <w:tab w:val="left" w:pos="360"/>
        </w:tabs>
        <w:spacing w:before="312" w:beforeLines="100" w:line="460" w:lineRule="exact"/>
        <w:ind w:left="0" w:firstLine="0"/>
        <w:rPr>
          <w:rFonts w:ascii="Times New Roman" w:hAnsi="Times New Roman"/>
        </w:rPr>
      </w:pPr>
      <w:bookmarkStart w:id="216" w:name="_Toc12704"/>
      <w:bookmarkStart w:id="217" w:name="_Toc31971"/>
      <w:bookmarkStart w:id="218" w:name="_Toc19998"/>
      <w:bookmarkStart w:id="219" w:name="_Toc23252_WPSOffice_Level2"/>
      <w:bookmarkStart w:id="220" w:name="_Toc128144618"/>
      <w:bookmarkStart w:id="221" w:name="_Toc213018257"/>
      <w:bookmarkStart w:id="222" w:name="_Toc15283"/>
      <w:r>
        <w:rPr>
          <w:rFonts w:hint="eastAsia" w:ascii="Times New Roman" w:hAnsi="Times New Roman"/>
        </w:rPr>
        <w:t>产业发展空间布局</w:t>
      </w:r>
      <w:bookmarkEnd w:id="216"/>
      <w:bookmarkEnd w:id="217"/>
      <w:bookmarkEnd w:id="218"/>
      <w:bookmarkEnd w:id="219"/>
      <w:bookmarkEnd w:id="220"/>
      <w:bookmarkEnd w:id="221"/>
      <w:bookmarkEnd w:id="222"/>
    </w:p>
    <w:p>
      <w:pPr>
        <w:pStyle w:val="5"/>
        <w:numPr>
          <w:ilvl w:val="0"/>
          <w:numId w:val="5"/>
        </w:numPr>
        <w:spacing w:before="156" w:after="0" w:afterLines="0"/>
        <w:ind w:left="0" w:firstLine="640"/>
        <w:rPr>
          <w:lang w:val="zh-CN"/>
        </w:rPr>
      </w:pPr>
      <w:r>
        <w:rPr>
          <w:rFonts w:hint="eastAsia"/>
          <w:lang w:val="zh-CN"/>
        </w:rPr>
        <w:t>工业产业空间布局</w:t>
      </w:r>
    </w:p>
    <w:p>
      <w:pPr>
        <w:ind w:firstLine="643"/>
        <w:rPr>
          <w:rFonts w:ascii="仿宋_GB2312" w:hAnsi="仿宋_GB2312" w:cs="仿宋_GB2312"/>
        </w:rPr>
      </w:pPr>
      <w:r>
        <w:rPr>
          <w:rFonts w:hint="eastAsia" w:ascii="仿宋_GB2312" w:hAnsi="仿宋_GB2312" w:cs="仿宋_GB2312"/>
          <w:b/>
        </w:rPr>
        <w:t>构建“一核一轴三区”的产业空间布局</w:t>
      </w:r>
      <w:r>
        <w:rPr>
          <w:rFonts w:hint="eastAsia" w:ascii="仿宋_GB2312" w:hAnsi="仿宋_GB2312" w:cs="仿宋_GB2312"/>
          <w:b/>
          <w:bCs/>
        </w:rPr>
        <w:t>。</w:t>
      </w:r>
      <w:r>
        <w:rPr>
          <w:rFonts w:hint="eastAsia" w:ascii="仿宋_GB2312" w:hAnsi="仿宋_GB2312" w:cs="仿宋_GB2312"/>
        </w:rPr>
        <w:t>依托珠江—西江经济带、粤桂黔滇高铁经济带和桂粤两省区合作平台建设，以园区建设为主战场，推动贺州高新技术产业开发区、广西东融先行示范区（贺州）、广西平桂黄金珠宝文化产业园等园区建设提质升级。</w:t>
      </w:r>
    </w:p>
    <w:p>
      <w:pPr>
        <w:ind w:firstLine="643"/>
        <w:rPr>
          <w:rFonts w:ascii="仿宋_GB2312" w:hAnsi="仿宋_GB2312" w:cs="仿宋_GB2312"/>
        </w:rPr>
      </w:pPr>
      <w:r>
        <w:rPr>
          <w:rFonts w:hint="eastAsia" w:ascii="仿宋_GB2312" w:hAnsi="仿宋_GB2312" w:cs="仿宋_GB2312"/>
          <w:b/>
        </w:rPr>
        <w:t>——“一核”。</w:t>
      </w:r>
      <w:r>
        <w:rPr>
          <w:rFonts w:hint="eastAsia" w:ascii="仿宋_GB2312" w:hAnsi="仿宋_GB2312" w:cs="仿宋_GB2312"/>
        </w:rPr>
        <w:t>即工业高质量发展核心增长极。重点引导贺州市高新技术产业、新兴产业向中心城区集聚，重点建设贺州高新技术产业开发区、广西平桂黄金珠宝文化产业园，保障电子信息、新材料、生物制药、黄金珠宝等产业用地。</w:t>
      </w:r>
    </w:p>
    <w:p>
      <w:pPr>
        <w:ind w:firstLine="643"/>
        <w:rPr>
          <w:rFonts w:ascii="仿宋_GB2312" w:hAnsi="仿宋_GB2312" w:cs="仿宋_GB2312"/>
        </w:rPr>
      </w:pPr>
      <w:r>
        <w:rPr>
          <w:rFonts w:hint="eastAsia" w:ascii="仿宋_GB2312" w:hAnsi="仿宋_GB2312" w:cs="仿宋_GB2312"/>
          <w:b/>
        </w:rPr>
        <w:t>——“一轴”。</w:t>
      </w:r>
      <w:r>
        <w:rPr>
          <w:rFonts w:hint="eastAsia" w:ascii="仿宋_GB2312" w:hAnsi="仿宋_GB2312" w:cs="仿宋_GB2312"/>
        </w:rPr>
        <w:t>即东融产业发展主轴。沿粤桂黔滇高铁经济带建设布局，以广西东融先行示范区（贺州）、贺州高新技术产业开发区为载体，承接粤港澳大湾区、长三角地区、福建等地产业外溢，高效承接大湾区产业转移，着力打造东融产业发展轴。</w:t>
      </w:r>
    </w:p>
    <w:p>
      <w:pPr>
        <w:ind w:firstLine="643"/>
        <w:rPr>
          <w:rFonts w:ascii="仿宋_GB2312" w:hAnsi="仿宋_GB2312" w:cs="仿宋_GB2312"/>
        </w:rPr>
      </w:pPr>
      <w:r>
        <w:rPr>
          <w:rFonts w:hint="eastAsia" w:ascii="仿宋_GB2312" w:hAnsi="仿宋_GB2312" w:cs="仿宋_GB2312"/>
          <w:b/>
        </w:rPr>
        <w:t>——“三区”。</w:t>
      </w:r>
      <w:r>
        <w:rPr>
          <w:rFonts w:hint="eastAsia" w:ascii="仿宋_GB2312" w:hAnsi="仿宋_GB2312" w:cs="仿宋_GB2312"/>
        </w:rPr>
        <w:t>即富川华润循环经济产业示范区、昭平县工业集中区、贺州市钟山工业区。立足生态功能区建设和绿色低碳循环发展，重点保障农副食品加工产业、大健康产业、电子信息产业、新兴产业等用地。</w:t>
      </w:r>
    </w:p>
    <w:p>
      <w:pPr>
        <w:widowControl/>
        <w:ind w:firstLine="640"/>
        <w:jc w:val="left"/>
        <w:rPr>
          <w:rFonts w:ascii="仿宋_GB2312" w:hAnsi="仿宋_GB2312" w:cs="仿宋_GB2312"/>
          <w:bCs/>
        </w:rPr>
      </w:pPr>
      <w:r>
        <w:rPr>
          <w:rFonts w:hint="eastAsia" w:ascii="仿宋_GB2312" w:hAnsi="仿宋_GB2312" w:cs="仿宋_GB2312"/>
          <w:bCs/>
        </w:rPr>
        <w:t>引导贺州市重点园区产业选择，优先保障重点产业、主导产业用地，加快园区基础设施及公共服务设施配套建设等。园区建设及产业入驻，应符合“三线一单”生态环境分区管控要求，禁止发展不具备区域资源禀赋条件、不符合水土保持型重点生态功能区发展方向和开发管制原则的产业。</w:t>
      </w:r>
    </w:p>
    <w:p>
      <w:pPr>
        <w:tabs>
          <w:tab w:val="left" w:pos="2100"/>
        </w:tabs>
        <w:ind w:firstLine="643"/>
        <w:rPr>
          <w:rFonts w:ascii="仿宋_GB2312" w:hAnsi="仿宋_GB2312" w:cs="仿宋_GB2312"/>
        </w:rPr>
      </w:pPr>
      <w:r>
        <w:rPr>
          <w:rFonts w:hint="eastAsia" w:ascii="仿宋_GB2312" w:hAnsi="仿宋_GB2312" w:cs="仿宋_GB2312"/>
          <w:b/>
        </w:rPr>
        <w:t>加大对重点工业园区的空间保障力度，合理引导园区空间布局。</w:t>
      </w:r>
      <w:r>
        <w:rPr>
          <w:rFonts w:hint="eastAsia" w:ascii="仿宋_GB2312" w:hAnsi="仿宋_GB2312" w:cs="仿宋_GB2312"/>
        </w:rPr>
        <w:t>整合布局零散、可开发建设土地面积有限、土地开发利用难度较大的园区，培育壮大科技含量高、发展潜力大、资源环境可承载的园区，重点保障优势产业和新兴产业用地需求，鼓励符合条件的园区升格升级。优化产业空间用地结构，重点加大引导市级以上园区、持续推进各级园区外零散工业项目和新增工业项目“入园入区”力度，除矿山、电力等特殊项目外，新建工业项目原则上统一布局在工业园区内，确需在园区外安排重大或有特殊工艺要求的工业项目，须加强科学论证。通过存量更新、低效开发、易地搬迁等方式，实现工业园区专业化、特色化发展，促进园区产业转型和集聚发展。有序推动企业入园进区，通过关闭退出一批、转型转移一批、改造升级一批，有序开展分类整治，逐步整合“低小散弱”的集聚区。</w:t>
      </w:r>
    </w:p>
    <w:p>
      <w:pPr>
        <w:pStyle w:val="2"/>
        <w:ind w:firstLine="643"/>
        <w:rPr>
          <w:szCs w:val="32"/>
        </w:rPr>
      </w:pPr>
      <w:r>
        <w:rPr>
          <w:rFonts w:hint="eastAsia" w:ascii="仿宋_GB2312" w:hAnsi="仿宋_GB2312" w:cs="仿宋_GB2312"/>
          <w:b/>
        </w:rPr>
        <w:t>促进园区提质增效，提升产业用地节约集约水平。</w:t>
      </w:r>
      <w:r>
        <w:rPr>
          <w:rFonts w:hint="eastAsia" w:ascii="仿宋_GB2312" w:hAnsi="仿宋_GB2312" w:cs="仿宋_GB2312"/>
        </w:rPr>
        <w:t>实行工业项目建设用地指标控制，明确工业项目投资强度、容积率、建筑系数、绿地率、非生产设施占地比例等控制性指标要求，实现工业用地节约集约和优化配置。严格土地使用标准和节约集约评价，强化园区发展规模与质量并重，提升工业用地产出效率，降低单位工业增加值耗地率，资源配置由粗放式向集约化转变。</w:t>
      </w:r>
    </w:p>
    <w:p>
      <w:pPr>
        <w:pStyle w:val="5"/>
        <w:numPr>
          <w:ilvl w:val="0"/>
          <w:numId w:val="5"/>
        </w:numPr>
        <w:spacing w:before="156" w:after="0" w:afterLines="0"/>
        <w:ind w:left="0" w:firstLine="640"/>
        <w:rPr>
          <w:lang w:val="zh-CN"/>
        </w:rPr>
      </w:pPr>
      <w:r>
        <w:rPr>
          <w:rFonts w:hint="eastAsia"/>
          <w:lang w:val="zh-CN"/>
        </w:rPr>
        <w:t>现代服务业产业布局</w:t>
      </w:r>
    </w:p>
    <w:p>
      <w:pPr>
        <w:ind w:firstLine="643"/>
        <w:rPr>
          <w:rFonts w:ascii="仿宋_GB2312" w:hAnsi="仿宋_GB2312" w:cs="仿宋_GB2312"/>
          <w:bCs/>
        </w:rPr>
      </w:pPr>
      <w:r>
        <w:rPr>
          <w:rFonts w:hint="eastAsia" w:ascii="仿宋_GB2312" w:hAnsi="仿宋_GB2312" w:cs="仿宋_GB2312"/>
          <w:b/>
          <w:lang w:bidi="ar"/>
        </w:rPr>
        <w:t>重点发展生产性服务业空间布局。</w:t>
      </w:r>
      <w:r>
        <w:rPr>
          <w:rFonts w:hint="eastAsia" w:ascii="仿宋_GB2312" w:hAnsi="仿宋_GB2312" w:cs="仿宋_GB2312"/>
          <w:bCs/>
          <w:lang w:bidi="ar"/>
        </w:rPr>
        <w:t>重点推进绿色碳酸钙大通道、</w:t>
      </w:r>
      <w:r>
        <w:rPr>
          <w:rFonts w:hint="eastAsia" w:ascii="仿宋_GB2312" w:hAnsi="仿宋_GB2312" w:cs="仿宋_GB2312"/>
        </w:rPr>
        <w:t>贺州陆海新通道联运中心（贺州无水港）</w:t>
      </w:r>
      <w:r>
        <w:rPr>
          <w:rFonts w:hint="eastAsia" w:ascii="仿宋_GB2312" w:hAnsi="仿宋_GB2312" w:cs="仿宋_GB2312"/>
          <w:bCs/>
          <w:lang w:bidi="ar"/>
        </w:rPr>
        <w:t>等物流通道和关键节点建设，依托马江工业园、富川华润循环经济产业示范区、贺州市钟山工业区等，加快构建中心城区和各县现代物流体系，重点保障电子商务、现代物流等产业用地。</w:t>
      </w:r>
    </w:p>
    <w:p>
      <w:pPr>
        <w:ind w:firstLine="643"/>
        <w:rPr>
          <w:rFonts w:ascii="仿宋_GB2312" w:hAnsi="仿宋_GB2312" w:cs="仿宋_GB2312"/>
          <w:bCs/>
        </w:rPr>
      </w:pPr>
      <w:r>
        <w:rPr>
          <w:rFonts w:hint="eastAsia" w:ascii="仿宋_GB2312" w:hAnsi="仿宋_GB2312" w:cs="仿宋_GB2312"/>
          <w:b/>
        </w:rPr>
        <w:t>优化提升生活性服务业空间布局。</w:t>
      </w:r>
      <w:r>
        <w:rPr>
          <w:rFonts w:hint="eastAsia" w:ascii="仿宋_GB2312" w:hAnsi="仿宋_GB2312" w:cs="仿宋_GB2312"/>
          <w:bCs/>
        </w:rPr>
        <w:t>全面整合文化旅游资源，提升竞争力，推动文化产业和旅游业高质量发展；利用“世界长寿市”和中国首个“全域长寿市”品牌优势，发展姑婆山、大桂山、南乡镇和里松温泉、黄姚古镇等“康养+”产业，挖掘提升长寿文化，开发特色品牌长寿产品，推进医养结合试点市建设。</w:t>
      </w:r>
    </w:p>
    <w:p>
      <w:pPr>
        <w:ind w:firstLine="643"/>
        <w:rPr>
          <w:rFonts w:ascii="仿宋_GB2312" w:hAnsi="仿宋_GB2312" w:cs="仿宋_GB2312"/>
          <w:szCs w:val="30"/>
        </w:rPr>
      </w:pPr>
      <w:r>
        <w:rPr>
          <w:rFonts w:hint="eastAsia" w:ascii="仿宋_GB2312" w:hAnsi="仿宋_GB2312" w:cs="仿宋_GB2312"/>
          <w:b/>
        </w:rPr>
        <w:t>壮大发展新兴服务业空间布局。</w:t>
      </w:r>
      <w:r>
        <w:rPr>
          <w:rFonts w:hint="eastAsia" w:ascii="仿宋_GB2312" w:hAnsi="仿宋_GB2312" w:cs="仿宋_GB2312"/>
          <w:bCs/>
        </w:rPr>
        <w:t>依</w:t>
      </w:r>
      <w:r>
        <w:rPr>
          <w:rFonts w:hint="eastAsia" w:ascii="仿宋_GB2312" w:hAnsi="仿宋_GB2312" w:cs="仿宋_GB2312"/>
          <w:bCs/>
          <w:lang w:val="zh-CN"/>
        </w:rPr>
        <w:t>托</w:t>
      </w:r>
      <w:r>
        <w:rPr>
          <w:rFonts w:hint="eastAsia" w:ascii="仿宋_GB2312" w:hAnsi="仿宋_GB2312" w:cs="仿宋_GB2312"/>
          <w:bCs/>
          <w:szCs w:val="30"/>
          <w:lang w:val="zh-CN"/>
        </w:rPr>
        <w:t>广西数字贺州产业园、平桂区大数据云计算生态科技产业园、贺州市大数据一体化服务中心等发展“智慧+”产业，</w:t>
      </w:r>
      <w:r>
        <w:rPr>
          <w:rFonts w:hint="eastAsia" w:ascii="仿宋_GB2312" w:hAnsi="仿宋_GB2312" w:cs="仿宋_GB2312"/>
          <w:bCs/>
          <w:szCs w:val="30"/>
        </w:rPr>
        <w:t>推进数字化多维应用，加快数字产业基础设施建设和应用，共同推进数字化产业发展；</w:t>
      </w:r>
      <w:r>
        <w:rPr>
          <w:rFonts w:hint="eastAsia" w:ascii="仿宋_GB2312" w:hAnsi="仿宋_GB2312" w:cs="仿宋_GB2312"/>
          <w:bCs/>
          <w:szCs w:val="30"/>
          <w:lang w:bidi="ar"/>
        </w:rPr>
        <w:t>以碳酸钙、黄金珠宝、农产品、生态长寿、民族文化等为会展主题，重点保障中心城区和县城商务会展产业落地</w:t>
      </w:r>
      <w:r>
        <w:rPr>
          <w:rFonts w:hint="eastAsia" w:ascii="仿宋_GB2312" w:hAnsi="仿宋_GB2312" w:cs="仿宋_GB2312"/>
          <w:szCs w:val="30"/>
          <w:lang w:bidi="ar"/>
        </w:rPr>
        <w:t>。</w:t>
      </w:r>
    </w:p>
    <w:p>
      <w:pPr>
        <w:pStyle w:val="5"/>
        <w:numPr>
          <w:ilvl w:val="0"/>
          <w:numId w:val="5"/>
        </w:numPr>
        <w:spacing w:before="156" w:after="0" w:afterLines="0"/>
        <w:ind w:left="0" w:firstLine="640"/>
        <w:rPr>
          <w:lang w:val="zh-CN"/>
        </w:rPr>
      </w:pPr>
      <w:r>
        <w:rPr>
          <w:rFonts w:hint="eastAsia"/>
          <w:lang w:val="zh-CN"/>
        </w:rPr>
        <w:t>产城融合</w:t>
      </w:r>
    </w:p>
    <w:p>
      <w:pPr>
        <w:pStyle w:val="2"/>
        <w:ind w:firstLine="640"/>
        <w:rPr>
          <w:rFonts w:ascii="仿宋_GB2312" w:hAnsi="仿宋_GB2312" w:cs="仿宋_GB2312"/>
        </w:rPr>
      </w:pPr>
      <w:r>
        <w:rPr>
          <w:rFonts w:hint="eastAsia" w:ascii="仿宋_GB2312" w:hAnsi="仿宋_GB2312" w:cs="仿宋_GB2312"/>
        </w:rPr>
        <w:t>因地制宜推进产城融合，协同推进产业发展、人口集聚和城市功能建设，统筹居住、配套设施和产业园区布局关系，完善产业集聚区配套，促进职住平衡。推进工业园区提质升级，增强园区造血功能，完善园区基础设施以及公共服务配套设施，改善居民生活条件，将具备条件的园区打造成为集生产、生活于一体的新型产城融合示范区。</w:t>
      </w:r>
    </w:p>
    <w:p>
      <w:pPr>
        <w:pStyle w:val="4"/>
        <w:numPr>
          <w:ilvl w:val="0"/>
          <w:numId w:val="10"/>
        </w:numPr>
        <w:tabs>
          <w:tab w:val="left" w:pos="360"/>
        </w:tabs>
        <w:spacing w:before="156" w:beforeLines="50" w:line="460" w:lineRule="exact"/>
        <w:ind w:left="0" w:firstLine="0"/>
        <w:rPr>
          <w:rFonts w:ascii="Times New Roman" w:hAnsi="Times New Roman"/>
        </w:rPr>
      </w:pPr>
      <w:bookmarkStart w:id="223" w:name="_Toc213018258"/>
      <w:bookmarkStart w:id="224" w:name="_Toc20667"/>
      <w:bookmarkStart w:id="225" w:name="_Toc28519"/>
      <w:bookmarkStart w:id="226" w:name="_Toc13491_WPSOffice_Level2"/>
      <w:bookmarkStart w:id="227" w:name="_Toc3188"/>
      <w:bookmarkStart w:id="228" w:name="_Toc128144619"/>
      <w:bookmarkStart w:id="229" w:name="_Toc29703"/>
      <w:r>
        <w:rPr>
          <w:rFonts w:hint="eastAsia" w:ascii="Times New Roman" w:hAnsi="Times New Roman"/>
        </w:rPr>
        <w:t>村庄分类引导</w:t>
      </w:r>
      <w:bookmarkEnd w:id="223"/>
      <w:bookmarkEnd w:id="224"/>
      <w:bookmarkEnd w:id="225"/>
      <w:bookmarkEnd w:id="226"/>
      <w:bookmarkEnd w:id="227"/>
      <w:bookmarkEnd w:id="228"/>
      <w:bookmarkEnd w:id="229"/>
    </w:p>
    <w:p>
      <w:pPr>
        <w:pStyle w:val="5"/>
        <w:numPr>
          <w:ilvl w:val="0"/>
          <w:numId w:val="5"/>
        </w:numPr>
        <w:spacing w:before="156" w:after="0" w:afterLines="0"/>
        <w:ind w:left="0" w:firstLine="640"/>
        <w:rPr>
          <w:lang w:val="zh-CN"/>
        </w:rPr>
      </w:pPr>
      <w:r>
        <w:rPr>
          <w:rFonts w:hint="eastAsia"/>
          <w:lang w:val="zh-CN"/>
        </w:rPr>
        <w:t>分类引导村庄发展</w:t>
      </w:r>
    </w:p>
    <w:p>
      <w:pPr>
        <w:pStyle w:val="2"/>
        <w:ind w:firstLine="640"/>
        <w:rPr>
          <w:rFonts w:ascii="仿宋_GB2312" w:hAnsi="仿宋_GB2312" w:cs="仿宋_GB2312"/>
        </w:rPr>
      </w:pPr>
      <w:r>
        <w:rPr>
          <w:rFonts w:hint="eastAsia" w:ascii="仿宋_GB2312" w:hAnsi="仿宋_GB2312" w:cs="仿宋_GB2312"/>
        </w:rPr>
        <w:t>将市辖区28</w:t>
      </w:r>
      <w:r>
        <w:rPr>
          <w:rFonts w:ascii="仿宋_GB2312" w:hAnsi="仿宋_GB2312" w:cs="仿宋_GB2312"/>
        </w:rPr>
        <w:t>7</w:t>
      </w:r>
      <w:r>
        <w:rPr>
          <w:rFonts w:hint="eastAsia" w:ascii="仿宋_GB2312" w:hAnsi="仿宋_GB2312" w:cs="仿宋_GB2312"/>
        </w:rPr>
        <w:t>个行政村划分为城郊融合类、集聚提升类、特色保护类、暂不分类，加快推进有条件有需求的村庄编制村庄规划，并按要求配置基础设施和公共服务设施，创建一批乡村振兴示范村，分类推进村庄发展（详见附表1</w:t>
      </w:r>
      <w:r>
        <w:rPr>
          <w:rFonts w:ascii="仿宋_GB2312" w:hAnsi="仿宋_GB2312" w:cs="仿宋_GB2312"/>
        </w:rPr>
        <w:t>6</w:t>
      </w:r>
      <w:r>
        <w:rPr>
          <w:rFonts w:hint="eastAsia" w:ascii="仿宋_GB2312" w:hAnsi="仿宋_GB2312" w:cs="仿宋_GB2312"/>
        </w:rPr>
        <w:t>）。贺州市辖区城镇开发边界内的16个行政村不做分类，未来将转化为城镇空间，由城市控制性详细规划引导和控制。下辖三个县由各县级总体规划参照制定村庄分类管控规则，各村庄宜参照附表</w:t>
      </w:r>
      <w:r>
        <w:rPr>
          <w:rFonts w:ascii="仿宋_GB2312" w:hAnsi="仿宋_GB2312" w:cs="仿宋_GB2312"/>
        </w:rPr>
        <w:t>17</w:t>
      </w:r>
      <w:r>
        <w:rPr>
          <w:rFonts w:hint="eastAsia" w:ascii="仿宋_GB2312" w:hAnsi="仿宋_GB2312" w:cs="仿宋_GB2312"/>
        </w:rPr>
        <w:t>-1、</w:t>
      </w:r>
      <w:r>
        <w:rPr>
          <w:rFonts w:ascii="仿宋_GB2312" w:hAnsi="仿宋_GB2312" w:cs="仿宋_GB2312"/>
        </w:rPr>
        <w:t>17</w:t>
      </w:r>
      <w:r>
        <w:rPr>
          <w:rFonts w:hint="eastAsia" w:ascii="仿宋_GB2312" w:hAnsi="仿宋_GB2312" w:cs="仿宋_GB2312"/>
        </w:rPr>
        <w:t>-2配置基础设施及公共服务设施。</w:t>
      </w:r>
    </w:p>
    <w:p>
      <w:pPr>
        <w:pStyle w:val="2"/>
        <w:ind w:firstLine="640"/>
        <w:rPr>
          <w:rFonts w:ascii="仿宋_GB2312" w:hAnsi="仿宋_GB2312" w:cs="仿宋_GB2312"/>
        </w:rPr>
      </w:pPr>
      <w:r>
        <w:rPr>
          <w:rFonts w:hint="eastAsia" w:ascii="仿宋_GB2312" w:hAnsi="仿宋_GB2312" w:cs="仿宋_GB2312"/>
        </w:rPr>
        <w:t>重点开展广贺高速、贵广高铁、207国道、323国道、301省道、327省道等“两高两道”沿线乡村规划建设，优化布局乡村生活空间。严格控制村庄建设用地总量，严格控制乡村新增建设用地规模，探索针对乡村建设的混合用地模式。积极推进农村集体经营性建设用地入市和全域土地综合整治、农用地整理和建设用地整理，盘活农村存量建设用地，腾挪空间用于支持乡村建设。</w:t>
      </w:r>
    </w:p>
    <w:p>
      <w:pPr>
        <w:pStyle w:val="5"/>
        <w:numPr>
          <w:ilvl w:val="0"/>
          <w:numId w:val="5"/>
        </w:numPr>
        <w:spacing w:before="156" w:after="0" w:afterLines="0"/>
        <w:ind w:left="0" w:firstLine="640"/>
        <w:rPr>
          <w:lang w:val="zh-CN"/>
        </w:rPr>
      </w:pPr>
      <w:r>
        <w:rPr>
          <w:rFonts w:hint="eastAsia"/>
          <w:lang w:val="zh-CN"/>
        </w:rPr>
        <w:t>乡村基础设施保障</w:t>
      </w:r>
    </w:p>
    <w:p>
      <w:pPr>
        <w:pStyle w:val="2"/>
        <w:ind w:firstLine="643"/>
        <w:rPr>
          <w:rFonts w:ascii="仿宋_GB2312" w:hAnsi="仿宋_GB2312" w:cs="仿宋_GB2312"/>
          <w:bCs/>
          <w:szCs w:val="32"/>
        </w:rPr>
      </w:pPr>
      <w:r>
        <w:rPr>
          <w:rFonts w:hint="eastAsia" w:ascii="仿宋_GB2312" w:hAnsi="仿宋_GB2312" w:cs="仿宋_GB2312"/>
          <w:b/>
          <w:szCs w:val="32"/>
        </w:rPr>
        <w:t>加强乡村基础设施建设。</w:t>
      </w:r>
      <w:r>
        <w:rPr>
          <w:rFonts w:hint="eastAsia" w:ascii="仿宋_GB2312" w:hAnsi="仿宋_GB2312" w:cs="仿宋_GB2312"/>
          <w:bCs/>
          <w:szCs w:val="32"/>
        </w:rPr>
        <w:t>推动乡村地区水、电、路、网等的全面升级。加强乡村设施建设，补齐公共服务和基础设施短板。因地制宜，综合考虑行政村规模、地理位置、人口数量、经济实力和地方特色等因素，配置公共交通设施、供水设施、供电设施、燃气设施、通信设施、排水设施、环卫设施、消防设施等8类工程设施，全面提升乡村各类基础设施建设水平。持续推进美丽乡村建设，加强环境整治，改善农村人居环境，凸显乡土风貌。</w:t>
      </w:r>
    </w:p>
    <w:p>
      <w:pPr>
        <w:pStyle w:val="2"/>
        <w:ind w:firstLine="643"/>
        <w:rPr>
          <w:rFonts w:ascii="仿宋_GB2312" w:hAnsi="仿宋_GB2312" w:cs="仿宋_GB2312"/>
          <w:bCs/>
          <w:szCs w:val="32"/>
        </w:rPr>
      </w:pPr>
      <w:r>
        <w:rPr>
          <w:rFonts w:hint="eastAsia" w:ascii="仿宋_GB2312" w:hAnsi="仿宋_GB2312" w:cs="仿宋_GB2312"/>
          <w:b/>
          <w:szCs w:val="32"/>
        </w:rPr>
        <w:t>持续优化乡村公共服务设施布局。</w:t>
      </w:r>
      <w:r>
        <w:rPr>
          <w:rFonts w:hint="eastAsia" w:ascii="仿宋_GB2312" w:hAnsi="仿宋_GB2312" w:cs="仿宋_GB2312"/>
          <w:bCs/>
          <w:szCs w:val="32"/>
        </w:rPr>
        <w:t>推进乡村社区生活服务圈建设。根据城郊融合类、集聚提升类等不同类型村庄的实际情况和未来发展趋势，对标全面建成小康社会和乡村振兴要求，持续优化补齐教育设施、文体科技、医疗设施、公用服务、社会福利、商业设施等公共服务设施配置短板，差异化推进城乡资源共享，加快城乡融合，缩小城乡差距。</w:t>
      </w:r>
    </w:p>
    <w:bookmarkEnd w:id="211"/>
    <w:bookmarkEnd w:id="212"/>
    <w:bookmarkEnd w:id="213"/>
    <w:bookmarkEnd w:id="214"/>
    <w:bookmarkEnd w:id="215"/>
    <w:p>
      <w:pPr>
        <w:ind w:firstLine="640"/>
        <w:rPr>
          <w:rFonts w:ascii="仿宋_GB2312" w:hAnsi="仿宋_GB2312" w:cs="仿宋_GB2312"/>
          <w:szCs w:val="32"/>
          <w:lang w:val="zh-CN"/>
        </w:rPr>
      </w:pPr>
      <w:bookmarkStart w:id="230" w:name="_Toc10080"/>
      <w:bookmarkStart w:id="231" w:name="_Toc15703"/>
      <w:bookmarkStart w:id="232" w:name="_Toc24830"/>
      <w:bookmarkStart w:id="233" w:name="_Toc24131"/>
      <w:bookmarkStart w:id="234" w:name="_Toc29377"/>
      <w:bookmarkStart w:id="235" w:name="_Toc30908"/>
      <w:bookmarkStart w:id="236" w:name="_Toc10175"/>
      <w:bookmarkStart w:id="237" w:name="_Toc11904"/>
      <w:r>
        <w:rPr>
          <w:rFonts w:hint="eastAsia" w:ascii="仿宋_GB2312" w:hAnsi="仿宋_GB2312" w:cs="仿宋_GB2312"/>
          <w:szCs w:val="32"/>
          <w:lang w:val="zh-CN"/>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bookmarkStart w:id="238" w:name="_Toc21660_WPSOffice_Level1"/>
      <w:bookmarkStart w:id="239" w:name="_Toc213018259"/>
      <w:r>
        <w:rPr>
          <w:rFonts w:hint="eastAsia" w:ascii="方正小标宋_GBK" w:hAnsi="方正小标宋_GBK" w:cs="方正小标宋_GBK"/>
          <w:szCs w:val="36"/>
          <w:lang w:val="zh-CN"/>
        </w:rPr>
        <w:t>中心城区功能完善与品质提升</w:t>
      </w:r>
      <w:bookmarkEnd w:id="238"/>
      <w:bookmarkEnd w:id="239"/>
    </w:p>
    <w:p>
      <w:pPr>
        <w:pStyle w:val="4"/>
        <w:numPr>
          <w:ilvl w:val="0"/>
          <w:numId w:val="11"/>
        </w:numPr>
        <w:tabs>
          <w:tab w:val="left" w:pos="360"/>
        </w:tabs>
        <w:spacing w:before="156" w:beforeLines="50" w:line="460" w:lineRule="exact"/>
        <w:ind w:left="0" w:firstLine="0"/>
        <w:rPr>
          <w:rFonts w:ascii="Times New Roman" w:hAnsi="Times New Roman"/>
        </w:rPr>
      </w:pPr>
      <w:bookmarkStart w:id="240" w:name="_Toc27524"/>
      <w:bookmarkStart w:id="241" w:name="_Toc31174"/>
      <w:bookmarkStart w:id="242" w:name="_Toc4377"/>
      <w:bookmarkStart w:id="243" w:name="_Toc16513"/>
      <w:bookmarkStart w:id="244" w:name="_Toc2242"/>
      <w:bookmarkStart w:id="245" w:name="_Toc2045"/>
      <w:bookmarkStart w:id="246" w:name="_Toc6773"/>
      <w:bookmarkStart w:id="247" w:name="_Toc9154_WPSOffice_Level2"/>
      <w:bookmarkStart w:id="248" w:name="_Toc18547"/>
      <w:bookmarkStart w:id="249" w:name="_Toc29051"/>
      <w:bookmarkStart w:id="250" w:name="_Toc213018260"/>
      <w:bookmarkStart w:id="251" w:name="_Toc21655"/>
      <w:r>
        <w:rPr>
          <w:rFonts w:hint="eastAsia" w:ascii="Times New Roman" w:hAnsi="Times New Roman"/>
        </w:rPr>
        <w:t>空间结构优化</w:t>
      </w:r>
      <w:bookmarkEnd w:id="240"/>
      <w:bookmarkEnd w:id="241"/>
      <w:bookmarkEnd w:id="242"/>
      <w:bookmarkEnd w:id="243"/>
      <w:bookmarkEnd w:id="244"/>
      <w:bookmarkEnd w:id="245"/>
      <w:bookmarkEnd w:id="246"/>
      <w:bookmarkEnd w:id="247"/>
      <w:bookmarkEnd w:id="248"/>
      <w:bookmarkEnd w:id="249"/>
      <w:bookmarkEnd w:id="250"/>
      <w:bookmarkEnd w:id="251"/>
    </w:p>
    <w:p>
      <w:pPr>
        <w:pStyle w:val="5"/>
        <w:numPr>
          <w:ilvl w:val="0"/>
          <w:numId w:val="5"/>
        </w:numPr>
        <w:spacing w:before="156" w:after="0" w:afterLines="0"/>
        <w:ind w:left="0" w:firstLine="640"/>
        <w:rPr>
          <w:lang w:val="zh-CN"/>
        </w:rPr>
      </w:pPr>
      <w:r>
        <w:rPr>
          <w:rFonts w:hint="eastAsia"/>
          <w:lang w:val="zh-CN"/>
        </w:rPr>
        <w:t>中心城区发展方向</w:t>
      </w:r>
    </w:p>
    <w:p>
      <w:pPr>
        <w:snapToGrid w:val="0"/>
        <w:ind w:firstLine="643"/>
        <w:rPr>
          <w:rFonts w:ascii="仿宋_GB2312" w:hAnsi="仿宋_GB2312" w:cs="仿宋_GB2312"/>
        </w:rPr>
      </w:pPr>
      <w:r>
        <w:rPr>
          <w:rFonts w:hint="eastAsia" w:ascii="仿宋_GB2312" w:hAnsi="仿宋_GB2312" w:cs="仿宋_GB2312"/>
          <w:b/>
        </w:rPr>
        <w:t>以西北—东南向为主，重点向西北、适度向南向东。</w:t>
      </w:r>
      <w:r>
        <w:rPr>
          <w:rFonts w:hint="eastAsia" w:ascii="仿宋_GB2312" w:hAnsi="仿宋_GB2312" w:cs="仿宋_GB2312"/>
        </w:rPr>
        <w:t>主要拓展区域为城市中心组团的城东新城片区、江南新城片区、平桂新城片区、姑婆山片区，旺高组团的旺高产业片区、碳酸钙产业（西湾）片区。</w:t>
      </w:r>
    </w:p>
    <w:p>
      <w:pPr>
        <w:pStyle w:val="5"/>
        <w:numPr>
          <w:ilvl w:val="0"/>
          <w:numId w:val="5"/>
        </w:numPr>
        <w:spacing w:before="156" w:after="0" w:afterLines="0"/>
        <w:ind w:left="0" w:firstLine="640"/>
        <w:rPr>
          <w:lang w:val="zh-CN"/>
        </w:rPr>
      </w:pPr>
      <w:r>
        <w:rPr>
          <w:rFonts w:hint="eastAsia"/>
          <w:lang w:val="zh-CN"/>
        </w:rPr>
        <w:t>中心城区空间结构</w:t>
      </w:r>
    </w:p>
    <w:p>
      <w:pPr>
        <w:ind w:firstLine="643"/>
        <w:rPr>
          <w:rFonts w:ascii="仿宋_GB2312" w:hAnsi="仿宋_GB2312" w:cs="仿宋_GB2312"/>
          <w:b/>
        </w:rPr>
      </w:pPr>
      <w:r>
        <w:rPr>
          <w:rFonts w:hint="eastAsia" w:ascii="仿宋_GB2312" w:hAnsi="仿宋_GB2312" w:cs="仿宋_GB2312"/>
          <w:b/>
        </w:rPr>
        <w:t>构建“一城三组团十二片区、一带四心多节点、山水田林绿融城”中心城区的空间结构。</w:t>
      </w:r>
    </w:p>
    <w:p>
      <w:pPr>
        <w:ind w:firstLine="643"/>
        <w:rPr>
          <w:rFonts w:ascii="仿宋_GB2312" w:hAnsi="仿宋_GB2312" w:cs="仿宋_GB2312"/>
        </w:rPr>
      </w:pPr>
      <w:r>
        <w:rPr>
          <w:rFonts w:hint="eastAsia" w:ascii="仿宋_GB2312" w:hAnsi="仿宋_GB2312" w:cs="仿宋_GB2312"/>
          <w:b/>
        </w:rPr>
        <w:t>——“一城”。</w:t>
      </w:r>
      <w:r>
        <w:rPr>
          <w:rFonts w:hint="eastAsia" w:ascii="仿宋_GB2312" w:hAnsi="仿宋_GB2312" w:cs="仿宋_GB2312"/>
        </w:rPr>
        <w:t>即贺州市中心城区。</w:t>
      </w:r>
    </w:p>
    <w:p>
      <w:pPr>
        <w:ind w:firstLine="643"/>
        <w:rPr>
          <w:rFonts w:ascii="仿宋_GB2312" w:hAnsi="仿宋_GB2312" w:cs="仿宋_GB2312"/>
        </w:rPr>
      </w:pPr>
      <w:r>
        <w:rPr>
          <w:rFonts w:hint="eastAsia" w:ascii="仿宋_GB2312" w:hAnsi="仿宋_GB2312" w:cs="仿宋_GB2312"/>
          <w:b/>
        </w:rPr>
        <w:t>——“三组团”。</w:t>
      </w:r>
      <w:r>
        <w:rPr>
          <w:rFonts w:hint="eastAsia" w:ascii="仿宋_GB2312" w:hAnsi="仿宋_GB2312" w:cs="仿宋_GB2312"/>
        </w:rPr>
        <w:t>即旺高组团、城市中心组团、莲塘—贺街组团。</w:t>
      </w:r>
    </w:p>
    <w:p>
      <w:pPr>
        <w:ind w:firstLine="643"/>
        <w:rPr>
          <w:rFonts w:ascii="仿宋_GB2312" w:hAnsi="仿宋_GB2312" w:cs="仿宋_GB2312"/>
        </w:rPr>
      </w:pPr>
      <w:r>
        <w:rPr>
          <w:rFonts w:hint="eastAsia" w:ascii="仿宋_GB2312" w:hAnsi="仿宋_GB2312" w:cs="仿宋_GB2312"/>
          <w:b/>
        </w:rPr>
        <w:t>——“十二片区”。</w:t>
      </w:r>
      <w:r>
        <w:rPr>
          <w:rFonts w:hint="eastAsia" w:ascii="仿宋_GB2312" w:hAnsi="仿宋_GB2312" w:cs="仿宋_GB2312"/>
        </w:rPr>
        <w:t>即旺高产业片区、碳酸钙产业（西湾）片区、平桂新城片区、东融新城片区、姑婆山片区、高新技术产业片区、八步老城片区、城东新城片区、江南新城片区、园博园片区、莲塘片区、贺街片区。</w:t>
      </w:r>
    </w:p>
    <w:p>
      <w:pPr>
        <w:ind w:firstLine="643"/>
        <w:rPr>
          <w:rFonts w:ascii="仿宋_GB2312" w:hAnsi="仿宋_GB2312" w:cs="仿宋_GB2312"/>
        </w:rPr>
      </w:pPr>
      <w:r>
        <w:rPr>
          <w:rFonts w:hint="eastAsia" w:ascii="仿宋_GB2312" w:hAnsi="仿宋_GB2312" w:cs="仿宋_GB2312"/>
          <w:b/>
        </w:rPr>
        <w:t>——“一带”。</w:t>
      </w:r>
      <w:r>
        <w:rPr>
          <w:rFonts w:hint="eastAsia" w:ascii="仿宋_GB2312" w:hAnsi="仿宋_GB2312" w:cs="仿宋_GB2312"/>
        </w:rPr>
        <w:t>即沿贺江两岸形成滨水休闲景观带。</w:t>
      </w:r>
    </w:p>
    <w:p>
      <w:pPr>
        <w:ind w:firstLine="643"/>
        <w:rPr>
          <w:rFonts w:ascii="仿宋_GB2312" w:hAnsi="仿宋_GB2312" w:cs="仿宋_GB2312"/>
        </w:rPr>
      </w:pPr>
      <w:r>
        <w:rPr>
          <w:rFonts w:hint="eastAsia" w:ascii="仿宋_GB2312" w:hAnsi="仿宋_GB2312" w:cs="仿宋_GB2312"/>
          <w:b/>
          <w:bCs/>
        </w:rPr>
        <w:t>——</w:t>
      </w:r>
      <w:r>
        <w:rPr>
          <w:rFonts w:hint="eastAsia" w:ascii="仿宋_GB2312" w:hAnsi="仿宋_GB2312" w:cs="仿宋_GB2312"/>
        </w:rPr>
        <w:t>“</w:t>
      </w:r>
      <w:r>
        <w:rPr>
          <w:rFonts w:hint="eastAsia" w:ascii="仿宋_GB2312" w:hAnsi="仿宋_GB2312" w:cs="仿宋_GB2312"/>
          <w:b/>
        </w:rPr>
        <w:t>四心</w:t>
      </w:r>
      <w:r>
        <w:rPr>
          <w:rFonts w:hint="eastAsia" w:ascii="仿宋_GB2312" w:hAnsi="仿宋_GB2312" w:cs="仿宋_GB2312"/>
        </w:rPr>
        <w:t>”</w:t>
      </w:r>
      <w:r>
        <w:rPr>
          <w:rFonts w:hint="eastAsia" w:ascii="仿宋_GB2312" w:hAnsi="仿宋_GB2312" w:cs="仿宋_GB2312"/>
          <w:b/>
          <w:bCs/>
        </w:rPr>
        <w:t>。</w:t>
      </w:r>
      <w:r>
        <w:rPr>
          <w:rFonts w:hint="eastAsia" w:ascii="仿宋_GB2312" w:hAnsi="仿宋_GB2312" w:cs="仿宋_GB2312"/>
        </w:rPr>
        <w:t>即市级城市综合服务中心、健康休闲服务中心、行政文化服务中心和产城融合示范区服务中心。</w:t>
      </w:r>
    </w:p>
    <w:p>
      <w:pPr>
        <w:ind w:firstLine="643"/>
        <w:rPr>
          <w:rFonts w:ascii="仿宋_GB2312" w:hAnsi="仿宋_GB2312" w:cs="仿宋_GB2312"/>
        </w:rPr>
      </w:pPr>
      <w:r>
        <w:rPr>
          <w:rFonts w:hint="eastAsia" w:ascii="仿宋_GB2312" w:hAnsi="仿宋_GB2312" w:cs="仿宋_GB2312"/>
          <w:b/>
        </w:rPr>
        <w:t>——“多节点”。</w:t>
      </w:r>
      <w:r>
        <w:rPr>
          <w:rFonts w:hint="eastAsia" w:ascii="仿宋_GB2312" w:hAnsi="仿宋_GB2312" w:cs="仿宋_GB2312"/>
        </w:rPr>
        <w:t>即各城市组团布局形成的组团中心、片区中心，构筑多层次、网络型的城市公共中心。</w:t>
      </w:r>
    </w:p>
    <w:p>
      <w:pPr>
        <w:pStyle w:val="2"/>
        <w:ind w:firstLine="643"/>
        <w:rPr>
          <w:rFonts w:ascii="仿宋_GB2312" w:hAnsi="仿宋_GB2312" w:cs="仿宋_GB2312"/>
          <w:b/>
          <w:bCs/>
        </w:rPr>
      </w:pPr>
      <w:r>
        <w:rPr>
          <w:rFonts w:hint="eastAsia" w:ascii="仿宋_GB2312" w:hAnsi="仿宋_GB2312" w:cs="仿宋_GB2312"/>
          <w:b/>
          <w:bCs/>
        </w:rPr>
        <w:t>——“山水田林绿融城”。</w:t>
      </w:r>
      <w:r>
        <w:rPr>
          <w:rFonts w:hint="eastAsia" w:ascii="仿宋_GB2312" w:hAnsi="仿宋_GB2312" w:cs="仿宋_GB2312"/>
        </w:rPr>
        <w:t>以城市周边的自然山体，以贺江及其支流、城市内湖等河湖水系，以城市组团间农田森林，共同构建自然生态、山水田园的生态基底，构筑山水城田共融的生态型城市。</w:t>
      </w:r>
    </w:p>
    <w:p>
      <w:pPr>
        <w:pStyle w:val="5"/>
        <w:numPr>
          <w:ilvl w:val="0"/>
          <w:numId w:val="5"/>
        </w:numPr>
        <w:spacing w:before="156" w:after="0" w:afterLines="0"/>
        <w:ind w:left="0" w:firstLine="640"/>
        <w:rPr>
          <w:lang w:val="zh-CN"/>
        </w:rPr>
      </w:pPr>
      <w:r>
        <w:rPr>
          <w:rFonts w:hint="eastAsia"/>
          <w:lang w:val="zh-CN"/>
        </w:rPr>
        <w:t>中心城区规划分区</w:t>
      </w:r>
    </w:p>
    <w:p>
      <w:pPr>
        <w:snapToGrid w:val="0"/>
        <w:ind w:firstLine="640"/>
        <w:rPr>
          <w:rFonts w:ascii="仿宋_GB2312" w:hAnsi="仿宋_GB2312" w:cs="仿宋_GB2312"/>
          <w:lang w:bidi="ar"/>
        </w:rPr>
      </w:pPr>
      <w:r>
        <w:rPr>
          <w:rFonts w:hint="eastAsia" w:ascii="仿宋_GB2312" w:hAnsi="仿宋_GB2312" w:cs="仿宋_GB2312"/>
          <w:lang w:bidi="ar"/>
        </w:rPr>
        <w:t>为加强规划管理和建设实施的统筹引导，中心城区划分为十二片区，旨在推动人、城、产、交通一体化发展，促进产业园区与城市服务功能的融合，保障发展实体经济的产业空间，在确保环境安全的基础上引导发展功能复合化建设，促进产城融合、职住平衡。</w:t>
      </w:r>
    </w:p>
    <w:p>
      <w:pPr>
        <w:pStyle w:val="5"/>
        <w:numPr>
          <w:ilvl w:val="0"/>
          <w:numId w:val="5"/>
        </w:numPr>
        <w:spacing w:before="156" w:after="0" w:afterLines="0"/>
        <w:ind w:left="0" w:firstLine="640"/>
        <w:rPr>
          <w:lang w:val="zh-CN"/>
        </w:rPr>
      </w:pPr>
      <w:r>
        <w:rPr>
          <w:rFonts w:hint="eastAsia"/>
          <w:lang w:val="zh-CN"/>
        </w:rPr>
        <w:t>中心城区二级规划分区</w:t>
      </w:r>
    </w:p>
    <w:p>
      <w:pPr>
        <w:ind w:firstLine="640"/>
      </w:pPr>
      <w:r>
        <w:rPr>
          <w:rFonts w:hint="eastAsia" w:ascii="仿宋_GB2312" w:hAnsi="仿宋_GB2312" w:cs="仿宋_GB2312"/>
        </w:rPr>
        <w:t>在落实农田保护区、生态保护区、生态控制区、城镇发展区、乡村发展区、矿产能源发展区6个一级分区的基础上，将中心城区城镇开发边界内细化为居住生活区、综合服务区、商业商务区、工业发展区、物流仓储区、绿地休闲区、交通枢纽区7个二级主导功能分区，城镇开发边界外乡村发展区进一步细划分为村庄建设区、一般农业区、林业发展区3类二级规划分区。各功能分区鼓励土地混合利用，促进生活、就业、休闲融合发展，鼓励在社区范围内增加就业岗位，探索商业、办公、居住、公共设施与市政基础设施等用地的复合开发。</w:t>
      </w:r>
    </w:p>
    <w:p>
      <w:pPr>
        <w:pStyle w:val="4"/>
        <w:numPr>
          <w:ilvl w:val="0"/>
          <w:numId w:val="11"/>
        </w:numPr>
        <w:tabs>
          <w:tab w:val="left" w:pos="360"/>
        </w:tabs>
        <w:spacing w:before="156" w:beforeLines="50" w:line="460" w:lineRule="exact"/>
        <w:ind w:left="0" w:firstLine="0"/>
        <w:rPr>
          <w:rFonts w:ascii="Times New Roman" w:hAnsi="Times New Roman"/>
        </w:rPr>
      </w:pPr>
      <w:bookmarkStart w:id="252" w:name="_Toc8817"/>
      <w:bookmarkStart w:id="253" w:name="_Toc22412"/>
      <w:bookmarkStart w:id="254" w:name="_Toc14908"/>
      <w:bookmarkStart w:id="255" w:name="_Toc1364"/>
      <w:bookmarkStart w:id="256" w:name="_Toc13669"/>
      <w:bookmarkStart w:id="257" w:name="_Toc3244_WPSOffice_Level2"/>
      <w:bookmarkStart w:id="258" w:name="_Toc2273"/>
      <w:bookmarkStart w:id="259" w:name="_Toc21375"/>
      <w:bookmarkStart w:id="260" w:name="_Toc7521"/>
      <w:bookmarkStart w:id="261" w:name="_Toc14539"/>
      <w:bookmarkStart w:id="262" w:name="_Toc213018261"/>
      <w:bookmarkStart w:id="263" w:name="_Toc25777"/>
      <w:r>
        <w:rPr>
          <w:rFonts w:hint="eastAsia" w:ascii="Times New Roman" w:hAnsi="Times New Roman"/>
        </w:rPr>
        <w:t>产业空间优化</w:t>
      </w:r>
      <w:bookmarkEnd w:id="252"/>
      <w:bookmarkEnd w:id="253"/>
      <w:bookmarkEnd w:id="254"/>
      <w:bookmarkEnd w:id="255"/>
      <w:bookmarkEnd w:id="256"/>
      <w:bookmarkEnd w:id="257"/>
      <w:bookmarkEnd w:id="258"/>
      <w:bookmarkEnd w:id="259"/>
      <w:bookmarkEnd w:id="260"/>
      <w:bookmarkEnd w:id="261"/>
      <w:bookmarkEnd w:id="262"/>
      <w:bookmarkEnd w:id="263"/>
    </w:p>
    <w:p>
      <w:pPr>
        <w:pStyle w:val="5"/>
        <w:numPr>
          <w:ilvl w:val="0"/>
          <w:numId w:val="5"/>
        </w:numPr>
        <w:spacing w:before="156" w:after="0" w:afterLines="0"/>
        <w:ind w:left="0" w:firstLine="640"/>
        <w:rPr>
          <w:lang w:val="zh-CN"/>
        </w:rPr>
      </w:pPr>
      <w:r>
        <w:rPr>
          <w:rFonts w:hint="eastAsia"/>
          <w:lang w:val="zh-CN"/>
        </w:rPr>
        <w:t>保障工业用地</w:t>
      </w:r>
    </w:p>
    <w:p>
      <w:pPr>
        <w:pStyle w:val="2"/>
        <w:ind w:firstLine="640"/>
        <w:rPr>
          <w:rFonts w:ascii="仿宋_GB2312" w:hAnsi="仿宋_GB2312" w:cs="仿宋_GB2312"/>
        </w:rPr>
      </w:pPr>
      <w:r>
        <w:rPr>
          <w:rFonts w:hint="eastAsia" w:ascii="仿宋_GB2312" w:hAnsi="仿宋_GB2312" w:cs="仿宋_GB2312"/>
        </w:rPr>
        <w:t>到2035年，贺州市中心城区工业用地总规模约为2400公顷，占中心城区城镇建设用地比例为24.81%。工业用地空间主要分布在旺高产业片区、碳酸钙产业（西湾）片区、平桂新城片区、高新技术产业片区、莲塘片区、贺街片区及中心组团周边片区。</w:t>
      </w:r>
    </w:p>
    <w:p>
      <w:pPr>
        <w:pStyle w:val="2"/>
        <w:ind w:firstLine="640"/>
        <w:rPr>
          <w:rFonts w:ascii="仿宋_GB2312" w:hAnsi="仿宋_GB2312" w:cs="仿宋_GB2312"/>
        </w:rPr>
      </w:pPr>
      <w:r>
        <w:rPr>
          <w:rFonts w:hint="eastAsia" w:ascii="仿宋_GB2312" w:hAnsi="仿宋_GB2312" w:cs="仿宋_GB2312"/>
        </w:rPr>
        <w:t>限制各片区工业用地调整为居住、商业等其他用途，严格执行国家、自治区工业项目建设用地控制指标要求，加快存量工业用地盘活和低效工业用地再开发，提升各片区土地开发强度及利用效率。注重老旧工业园区的改造升级，完善交通、市政等设施配套，推动低效产业用地“退二优二”。</w:t>
      </w:r>
    </w:p>
    <w:p>
      <w:pPr>
        <w:pStyle w:val="5"/>
        <w:numPr>
          <w:ilvl w:val="0"/>
          <w:numId w:val="5"/>
        </w:numPr>
        <w:spacing w:before="156" w:after="0" w:afterLines="0"/>
        <w:ind w:left="0" w:firstLine="640"/>
        <w:rPr>
          <w:lang w:val="zh-CN"/>
        </w:rPr>
      </w:pPr>
      <w:r>
        <w:rPr>
          <w:rFonts w:hint="eastAsia"/>
          <w:lang w:val="zh-CN"/>
        </w:rPr>
        <w:t>工业用地控制线</w:t>
      </w:r>
    </w:p>
    <w:p>
      <w:pPr>
        <w:ind w:firstLine="640"/>
        <w:rPr>
          <w:rFonts w:ascii="仿宋_GB2312" w:hAnsi="仿宋_GB2312" w:cs="仿宋_GB2312"/>
        </w:rPr>
      </w:pPr>
      <w:r>
        <w:rPr>
          <w:rFonts w:hint="eastAsia" w:ascii="仿宋_GB2312" w:hAnsi="仿宋_GB2312" w:cs="仿宋_GB2312"/>
        </w:rPr>
        <w:t>单个工业用地控制线内的工业用地面积，原则上不低于该工业用地控制线总面积的5</w:t>
      </w:r>
      <w:r>
        <w:rPr>
          <w:rFonts w:ascii="仿宋_GB2312" w:hAnsi="仿宋_GB2312" w:cs="仿宋_GB2312"/>
        </w:rPr>
        <w:t>0%。</w:t>
      </w:r>
    </w:p>
    <w:p>
      <w:pPr>
        <w:pStyle w:val="2"/>
        <w:ind w:firstLine="640"/>
        <w:rPr>
          <w:rFonts w:ascii="仿宋_GB2312" w:hAnsi="仿宋_GB2312" w:cs="仿宋_GB2312"/>
        </w:rPr>
      </w:pPr>
      <w:r>
        <w:rPr>
          <w:lang w:val="zh-CN"/>
        </w:rPr>
        <w:t>控制线内工业用地规模需严格保护，限制工业用地调整为住宅、商业等经营性用途。控制线内普通工业用地调整为新型产业用地，需征求工业和信息化</w:t>
      </w:r>
      <w:r>
        <w:rPr>
          <w:rFonts w:hint="eastAsia"/>
          <w:lang w:val="zh-CN"/>
        </w:rPr>
        <w:t>及</w:t>
      </w:r>
      <w:r>
        <w:rPr>
          <w:lang w:val="zh-CN"/>
        </w:rPr>
        <w:t>自然资源</w:t>
      </w:r>
      <w:r>
        <w:rPr>
          <w:rFonts w:hint="eastAsia"/>
          <w:lang w:val="zh-CN"/>
        </w:rPr>
        <w:t>行政主管部门</w:t>
      </w:r>
      <w:r>
        <w:rPr>
          <w:lang w:val="zh-CN"/>
        </w:rPr>
        <w:t>意见。鼓励控制线内其他用地优先作为园区配套使用，可适当安排人才公寓、租赁住房和配套设施等。工业用地控制线调整应遵循“在区内平衡的前提下，线内工业用地不减少、布局更优化”原则，区内进行等量置换，优先增补周边集中连片可开发用地。</w:t>
      </w:r>
    </w:p>
    <w:p>
      <w:pPr>
        <w:pStyle w:val="5"/>
        <w:numPr>
          <w:ilvl w:val="0"/>
          <w:numId w:val="5"/>
        </w:numPr>
        <w:spacing w:before="156" w:after="0" w:afterLines="0"/>
        <w:ind w:left="0" w:firstLine="640"/>
        <w:rPr>
          <w:lang w:val="zh-CN"/>
        </w:rPr>
      </w:pPr>
      <w:r>
        <w:rPr>
          <w:rFonts w:hint="eastAsia"/>
          <w:lang w:val="zh-CN"/>
        </w:rPr>
        <w:t>仓储用地</w:t>
      </w:r>
    </w:p>
    <w:p>
      <w:pPr>
        <w:pStyle w:val="2"/>
        <w:ind w:firstLine="640"/>
        <w:rPr>
          <w:rFonts w:ascii="仿宋_GB2312" w:hAnsi="仿宋_GB2312" w:cs="仿宋_GB2312"/>
        </w:rPr>
      </w:pPr>
      <w:r>
        <w:rPr>
          <w:rFonts w:hint="eastAsia" w:ascii="仿宋_GB2312" w:hAnsi="仿宋_GB2312" w:cs="仿宋_GB2312"/>
        </w:rPr>
        <w:t>物流仓储用地结合专业市场、火车站前广场和交通性道路布局，规划在旺高产业片区、碳酸钙产业（西湾）片区、平桂新城片区、东融新城片区、高新技术产业片区、园博园片区、莲塘片区等区域集中布置物流仓储用地。</w:t>
      </w:r>
    </w:p>
    <w:p>
      <w:pPr>
        <w:pStyle w:val="4"/>
        <w:numPr>
          <w:ilvl w:val="0"/>
          <w:numId w:val="11"/>
        </w:numPr>
        <w:tabs>
          <w:tab w:val="left" w:pos="360"/>
        </w:tabs>
        <w:spacing w:before="156" w:beforeLines="50" w:line="460" w:lineRule="exact"/>
        <w:ind w:left="0" w:firstLine="0"/>
        <w:rPr>
          <w:rFonts w:ascii="Times New Roman" w:hAnsi="Times New Roman"/>
        </w:rPr>
      </w:pPr>
      <w:bookmarkStart w:id="264" w:name="_Toc16269"/>
      <w:bookmarkStart w:id="265" w:name="_Toc16742"/>
      <w:bookmarkStart w:id="266" w:name="_Toc21485"/>
      <w:bookmarkStart w:id="267" w:name="_Toc9384_WPSOffice_Level2"/>
      <w:bookmarkStart w:id="268" w:name="_Toc11264"/>
      <w:bookmarkStart w:id="269" w:name="_Toc11734"/>
      <w:bookmarkStart w:id="270" w:name="_Toc2447"/>
      <w:bookmarkStart w:id="271" w:name="_Toc20444"/>
      <w:bookmarkStart w:id="272" w:name="_Toc213018262"/>
      <w:bookmarkStart w:id="273" w:name="_Toc7246"/>
      <w:bookmarkStart w:id="274" w:name="_Toc26072"/>
      <w:bookmarkStart w:id="275" w:name="_Toc6991"/>
      <w:r>
        <w:rPr>
          <w:rFonts w:hint="eastAsia" w:ascii="Times New Roman" w:hAnsi="Times New Roman"/>
        </w:rPr>
        <w:t>居住用地与住房保障</w:t>
      </w:r>
      <w:bookmarkEnd w:id="264"/>
      <w:bookmarkEnd w:id="265"/>
      <w:bookmarkEnd w:id="266"/>
      <w:bookmarkEnd w:id="267"/>
      <w:bookmarkEnd w:id="268"/>
      <w:bookmarkEnd w:id="269"/>
      <w:bookmarkEnd w:id="270"/>
      <w:bookmarkEnd w:id="271"/>
      <w:bookmarkEnd w:id="272"/>
      <w:bookmarkEnd w:id="273"/>
      <w:bookmarkEnd w:id="274"/>
      <w:bookmarkEnd w:id="275"/>
    </w:p>
    <w:p>
      <w:pPr>
        <w:pStyle w:val="5"/>
        <w:numPr>
          <w:ilvl w:val="0"/>
          <w:numId w:val="5"/>
        </w:numPr>
        <w:spacing w:before="156" w:after="0" w:afterLines="0"/>
        <w:ind w:left="0" w:firstLine="640"/>
        <w:rPr>
          <w:lang w:val="zh-CN"/>
        </w:rPr>
      </w:pPr>
      <w:r>
        <w:rPr>
          <w:rFonts w:hint="eastAsia"/>
          <w:lang w:val="zh-CN"/>
        </w:rPr>
        <w:t>居住用地</w:t>
      </w:r>
    </w:p>
    <w:p>
      <w:pPr>
        <w:ind w:firstLine="643"/>
        <w:rPr>
          <w:rFonts w:ascii="仿宋_GB2312" w:hAnsi="仿宋_GB2312" w:cs="仿宋_GB2312"/>
        </w:rPr>
      </w:pPr>
      <w:r>
        <w:rPr>
          <w:rFonts w:hint="eastAsia" w:ascii="仿宋_GB2312" w:hAnsi="仿宋_GB2312" w:cs="仿宋_GB2312"/>
          <w:b/>
          <w:szCs w:val="30"/>
        </w:rPr>
        <w:t>优化居住用地布局，推进职住平衡。</w:t>
      </w:r>
      <w:r>
        <w:rPr>
          <w:rFonts w:hint="eastAsia" w:ascii="仿宋_GB2312" w:hAnsi="仿宋_GB2312" w:cs="仿宋_GB2312"/>
        </w:rPr>
        <w:t>发展合理拓展、布局和调控就业新空间，完善平桂新城、东融新城、城东新区、江南新城等承接八步区中心老城区功能转移的就业政策，提高公共服务水平和综合吸引力，引导中心城区人口随产业升级而合理布局，实现宜居、宜业的有机融合，促进更高质量充分就业，提高城市发展活力。</w:t>
      </w:r>
    </w:p>
    <w:p>
      <w:pPr>
        <w:pStyle w:val="5"/>
        <w:numPr>
          <w:ilvl w:val="0"/>
          <w:numId w:val="5"/>
        </w:numPr>
        <w:spacing w:before="156" w:after="0" w:afterLines="0"/>
        <w:ind w:left="0" w:firstLine="640"/>
        <w:rPr>
          <w:lang w:val="zh-CN"/>
        </w:rPr>
      </w:pPr>
      <w:bookmarkStart w:id="276" w:name="_Toc20517"/>
      <w:bookmarkStart w:id="277" w:name="_Toc27499"/>
      <w:bookmarkStart w:id="278" w:name="_Toc27177"/>
      <w:bookmarkStart w:id="279" w:name="_Toc9377"/>
      <w:bookmarkStart w:id="280" w:name="_Toc16479"/>
      <w:bookmarkStart w:id="281" w:name="_Toc28991"/>
      <w:bookmarkStart w:id="282" w:name="_Toc10016"/>
      <w:bookmarkStart w:id="283" w:name="_Toc13699"/>
      <w:bookmarkStart w:id="284" w:name="_Toc18555"/>
      <w:bookmarkStart w:id="285" w:name="_Toc17433"/>
      <w:r>
        <w:rPr>
          <w:rFonts w:hint="eastAsia"/>
          <w:lang w:val="zh-CN"/>
        </w:rPr>
        <w:t>保障性住房</w:t>
      </w:r>
    </w:p>
    <w:p>
      <w:pPr>
        <w:ind w:firstLine="643"/>
        <w:rPr>
          <w:rFonts w:ascii="仿宋_GB2312" w:hAnsi="仿宋_GB2312" w:cs="仿宋_GB2312"/>
          <w:lang w:bidi="ar"/>
        </w:rPr>
      </w:pPr>
      <w:r>
        <w:rPr>
          <w:rFonts w:hint="eastAsia" w:ascii="仿宋_GB2312" w:hAnsi="仿宋_GB2312" w:cs="仿宋_GB2312"/>
          <w:b/>
          <w:lang w:bidi="ar"/>
        </w:rPr>
        <w:t>加强保障性住房建设，提升住房保障水平。</w:t>
      </w:r>
      <w:r>
        <w:rPr>
          <w:rFonts w:hint="eastAsia" w:ascii="仿宋_GB2312" w:hAnsi="仿宋_GB2312" w:cs="仿宋_GB2312"/>
        </w:rPr>
        <w:t>推动建立普通商品住房、市场租赁住房、保障性租赁住房等多主体供给、多渠道保障、租购并举的住房制度，加快完善以公租房、保障性租赁住房和共有产权住房为主体的住房保障体系。</w:t>
      </w:r>
      <w:r>
        <w:rPr>
          <w:rFonts w:hint="eastAsia" w:ascii="仿宋_GB2312" w:hAnsi="仿宋_GB2312" w:cs="仿宋_GB2312"/>
          <w:lang w:bidi="ar"/>
        </w:rPr>
        <w:t>面向新住民、青年和产业园区职工人口，探索多种方式的保障性住房供给策略。合理安排保障性住房的空间布局，重点在平桂新城片区、高新技术产业片区、旧城改造地区布局保障性租赁住房，保障收入困难家庭、新住民、青年人的住房需求。</w:t>
      </w:r>
    </w:p>
    <w:p>
      <w:pPr>
        <w:pStyle w:val="4"/>
        <w:numPr>
          <w:ilvl w:val="0"/>
          <w:numId w:val="11"/>
        </w:numPr>
        <w:tabs>
          <w:tab w:val="left" w:pos="360"/>
        </w:tabs>
        <w:spacing w:before="156" w:beforeLines="50" w:line="460" w:lineRule="exact"/>
        <w:ind w:left="0" w:firstLine="0"/>
        <w:rPr>
          <w:rFonts w:ascii="Times New Roman" w:hAnsi="Times New Roman"/>
        </w:rPr>
      </w:pPr>
      <w:bookmarkStart w:id="286" w:name="_Toc185_WPSOffice_Level2"/>
      <w:bookmarkStart w:id="287" w:name="_Toc213018263"/>
      <w:r>
        <w:rPr>
          <w:rFonts w:hint="eastAsia" w:ascii="Times New Roman" w:hAnsi="Times New Roman"/>
        </w:rPr>
        <w:t>公共服务和社区生活圈</w:t>
      </w:r>
      <w:bookmarkEnd w:id="276"/>
      <w:bookmarkEnd w:id="277"/>
      <w:bookmarkEnd w:id="278"/>
      <w:bookmarkEnd w:id="279"/>
      <w:bookmarkEnd w:id="280"/>
      <w:bookmarkEnd w:id="281"/>
      <w:bookmarkEnd w:id="282"/>
      <w:bookmarkEnd w:id="283"/>
      <w:bookmarkEnd w:id="284"/>
      <w:bookmarkEnd w:id="285"/>
      <w:bookmarkEnd w:id="286"/>
      <w:bookmarkEnd w:id="287"/>
    </w:p>
    <w:p>
      <w:pPr>
        <w:pStyle w:val="5"/>
        <w:numPr>
          <w:ilvl w:val="0"/>
          <w:numId w:val="5"/>
        </w:numPr>
        <w:spacing w:before="156" w:after="0" w:afterLines="0"/>
        <w:ind w:left="0" w:firstLine="640"/>
        <w:rPr>
          <w:lang w:val="zh-CN"/>
        </w:rPr>
      </w:pPr>
      <w:r>
        <w:rPr>
          <w:rFonts w:hint="eastAsia"/>
          <w:lang w:val="zh-CN"/>
        </w:rPr>
        <w:t>公共服务中心体系</w:t>
      </w:r>
    </w:p>
    <w:p>
      <w:pPr>
        <w:ind w:firstLine="643"/>
        <w:rPr>
          <w:rFonts w:ascii="仿宋_GB2312" w:hAnsi="仿宋_GB2312" w:cs="仿宋_GB2312"/>
        </w:rPr>
      </w:pPr>
      <w:r>
        <w:rPr>
          <w:rFonts w:hint="eastAsia" w:ascii="仿宋_GB2312" w:hAnsi="仿宋_GB2312" w:cs="仿宋_GB2312"/>
          <w:b/>
        </w:rPr>
        <w:t>加快构建“城市—片区—社区”三级公共服务中心体系。</w:t>
      </w:r>
      <w:r>
        <w:rPr>
          <w:rFonts w:hint="eastAsia" w:ascii="仿宋_GB2312" w:hAnsi="仿宋_GB2312" w:cs="仿宋_GB2312"/>
        </w:rPr>
        <w:t>加大基本公共服务向现状公共服务水平较薄弱地区倾斜的力度，逐步消除不同地区、不同人群公共服务供给的差异性，提升基本公共服务的便利性与覆盖度，以城区组团为单元配置城市级公共服务设施，以主城片区为单元配置片区级公共服务设施，以社区生活圈为单元配置社区级公共服务设施。规划城东、平桂区2处城市级公共服务中心，规划东融、老城、西湾、江南、旺高、莲塘、贺街、姑婆山等8处片区级公共服务中心，建设31个社区级中心。</w:t>
      </w:r>
    </w:p>
    <w:p>
      <w:pPr>
        <w:pStyle w:val="5"/>
        <w:numPr>
          <w:ilvl w:val="0"/>
          <w:numId w:val="5"/>
        </w:numPr>
        <w:spacing w:before="156" w:after="0" w:afterLines="0"/>
        <w:ind w:left="0" w:firstLine="640"/>
        <w:rPr>
          <w:lang w:val="zh-CN"/>
        </w:rPr>
      </w:pPr>
      <w:r>
        <w:rPr>
          <w:rFonts w:hint="eastAsia"/>
          <w:lang w:val="zh-CN"/>
        </w:rPr>
        <w:t>公共服务设施布局</w:t>
      </w:r>
    </w:p>
    <w:p>
      <w:pPr>
        <w:ind w:firstLine="643"/>
        <w:rPr>
          <w:rFonts w:ascii="仿宋_GB2312" w:hAnsi="仿宋_GB2312" w:cs="仿宋_GB2312"/>
          <w:bCs/>
        </w:rPr>
      </w:pPr>
      <w:r>
        <w:rPr>
          <w:rFonts w:hint="eastAsia" w:ascii="仿宋_GB2312" w:hAnsi="仿宋_GB2312" w:cs="仿宋_GB2312"/>
          <w:b/>
        </w:rPr>
        <w:t>机关团体设施。</w:t>
      </w:r>
      <w:r>
        <w:rPr>
          <w:rFonts w:hint="eastAsia" w:ascii="仿宋_GB2312" w:hAnsi="仿宋_GB2312" w:cs="仿宋_GB2312"/>
          <w:bCs/>
        </w:rPr>
        <w:t>保留集中布局在贺州大道两侧市级行政机构，保留现状八步区和平桂区行政中心，老城区内已迁出的行政办公机构，可适时进行改扩建，优化老城功能布局。</w:t>
      </w:r>
    </w:p>
    <w:p>
      <w:pPr>
        <w:ind w:firstLine="643"/>
        <w:rPr>
          <w:rFonts w:ascii="仿宋_GB2312" w:hAnsi="仿宋_GB2312" w:cs="仿宋_GB2312"/>
        </w:rPr>
      </w:pPr>
      <w:r>
        <w:rPr>
          <w:rFonts w:hint="eastAsia" w:ascii="仿宋_GB2312" w:hAnsi="仿宋_GB2312" w:cs="仿宋_GB2312"/>
          <w:b/>
        </w:rPr>
        <w:t>科研设施。</w:t>
      </w:r>
      <w:r>
        <w:rPr>
          <w:rFonts w:hint="eastAsia" w:ascii="仿宋_GB2312" w:hAnsi="仿宋_GB2312" w:cs="仿宋_GB2312"/>
        </w:rPr>
        <w:t>依托高新技术产业开发区、东融新区、大学城、科研苗圃和重要产业基地，发挥新城的产业和技术创新优势，布置科研用地，打造创新功能集聚区，建设服务全市高新技术产业发展的科技创新研发中心。</w:t>
      </w:r>
    </w:p>
    <w:p>
      <w:pPr>
        <w:ind w:firstLine="643"/>
        <w:rPr>
          <w:rFonts w:ascii="仿宋_GB2312" w:hAnsi="仿宋_GB2312" w:cs="仿宋_GB2312"/>
        </w:rPr>
      </w:pPr>
      <w:r>
        <w:rPr>
          <w:rFonts w:hint="eastAsia" w:ascii="仿宋_GB2312" w:hAnsi="仿宋_GB2312" w:cs="仿宋_GB2312"/>
          <w:b/>
          <w:szCs w:val="30"/>
        </w:rPr>
        <w:t>文化设施。</w:t>
      </w:r>
      <w:r>
        <w:rPr>
          <w:rFonts w:hint="eastAsia" w:ascii="仿宋_GB2312" w:hAnsi="仿宋_GB2312" w:cs="仿宋_GB2312"/>
        </w:rPr>
        <w:t>规划3处市级文化设施，完善城东新区片区市级文化艺术中心，建设三馆一中心（图书馆、博物馆、档案馆和自然资源中心）。在平桂新城片区结合石材市场等布置1个城市级会展中心。结合城市更新建设1座非物质文化遗产保护展示中心，建设8处城区级公共文化设施，健全5—10—15分钟生活圈级公共文化设施。</w:t>
      </w:r>
    </w:p>
    <w:p>
      <w:pPr>
        <w:ind w:firstLine="643"/>
      </w:pPr>
      <w:r>
        <w:rPr>
          <w:rFonts w:hint="eastAsia" w:ascii="仿宋_GB2312" w:hAnsi="仿宋_GB2312" w:cs="仿宋_GB2312"/>
          <w:b/>
          <w:szCs w:val="30"/>
        </w:rPr>
        <w:t>教育设施。</w:t>
      </w:r>
      <w:r>
        <w:rPr>
          <w:rFonts w:hint="eastAsia" w:ascii="仿宋_GB2312" w:hAnsi="仿宋_GB2312" w:cs="仿宋_GB2312"/>
          <w:szCs w:val="30"/>
        </w:rPr>
        <w:t>全面提高中心城区幼儿园的办学水平和保育水平。到2035年，公办幼儿园和普惠性民办幼儿园覆盖率达100%，义务教育阶段入学率达到100%，适龄残疾儿童实施全纳教育，义务教育阶段学校实现均衡发展、优质发展、特色发展。中心城区范围内共规划小学60所，初中35所，高中10所。完善贺州学院和贺州市职业教育发展中心的基础设施配套，新建贺州职业技术学院，推进高等教育建设。在园博园片区建设完善贺州市示范性综合实践基地</w:t>
      </w:r>
      <w:r>
        <w:rPr>
          <w:rFonts w:hint="eastAsia" w:ascii="仿宋_GB2312" w:hAnsi="仿宋_GB2312" w:cs="仿宋_GB2312"/>
        </w:rPr>
        <w:t>。</w:t>
      </w:r>
    </w:p>
    <w:p>
      <w:pPr>
        <w:snapToGrid w:val="0"/>
        <w:ind w:firstLine="643"/>
        <w:rPr>
          <w:rFonts w:ascii="仿宋_GB2312" w:hAnsi="仿宋_GB2312" w:cs="仿宋_GB2312"/>
          <w:szCs w:val="30"/>
        </w:rPr>
      </w:pPr>
      <w:r>
        <w:rPr>
          <w:rFonts w:hint="eastAsia" w:ascii="仿宋_GB2312" w:hAnsi="仿宋_GB2312" w:cs="仿宋_GB2312"/>
          <w:b/>
          <w:szCs w:val="30"/>
        </w:rPr>
        <w:t>医疗卫生设施。</w:t>
      </w:r>
      <w:r>
        <w:rPr>
          <w:rFonts w:hint="eastAsia" w:ascii="仿宋_GB2312" w:hAnsi="仿宋_GB2312" w:cs="仿宋_GB2312"/>
        </w:rPr>
        <w:t>到2035年，贺州市中心城区共规划市级医院1</w:t>
      </w:r>
      <w:r>
        <w:rPr>
          <w:rFonts w:ascii="仿宋_GB2312" w:hAnsi="仿宋_GB2312" w:cs="仿宋_GB2312"/>
        </w:rPr>
        <w:t>5</w:t>
      </w:r>
      <w:r>
        <w:rPr>
          <w:rFonts w:hint="eastAsia" w:ascii="仿宋_GB2312" w:hAnsi="仿宋_GB2312" w:cs="仿宋_GB2312"/>
        </w:rPr>
        <w:t>所，片区级医院7所，各社区结合5—15分钟生活圈完善社区级医疗卫生设施配置。</w:t>
      </w:r>
      <w:r>
        <w:rPr>
          <w:rFonts w:hint="eastAsia" w:ascii="仿宋_GB2312" w:hAnsi="仿宋_GB2312" w:cs="仿宋_GB2312"/>
          <w:szCs w:val="30"/>
        </w:rPr>
        <w:t>规划保留贺州市中心血站、贺州市卫生计生监督所，迁建贺州市疾病预防控制中心。</w:t>
      </w:r>
      <w:r>
        <w:rPr>
          <w:rFonts w:hint="eastAsia" w:ascii="仿宋_GB2312" w:hAnsi="仿宋_GB2312" w:cs="仿宋_GB2312"/>
        </w:rPr>
        <w:t>同时在整体布局、用地指标、建设时序方面，考虑未来防疫卫生等基础设施对国土空间规划的需要，科学布置“留白”空间，预留应急避难场所和防疫应急设施空间。结合地方特色，优化医疗、养老资源配置，打造“医养结合”项目，中心城区规划养护院3所，依托市（区）属医院建设附属护理院若干所，以社区卫生服务中心为依托，将医养服务嵌入社区。</w:t>
      </w:r>
    </w:p>
    <w:p>
      <w:pPr>
        <w:snapToGrid w:val="0"/>
        <w:ind w:firstLine="643"/>
        <w:rPr>
          <w:rFonts w:ascii="仿宋_GB2312" w:hAnsi="仿宋_GB2312" w:cs="仿宋_GB2312"/>
          <w:szCs w:val="30"/>
        </w:rPr>
      </w:pPr>
      <w:r>
        <w:rPr>
          <w:rFonts w:hint="eastAsia" w:ascii="仿宋_GB2312" w:hAnsi="仿宋_GB2312" w:cs="仿宋_GB2312"/>
          <w:b/>
          <w:bCs/>
          <w:szCs w:val="30"/>
        </w:rPr>
        <w:t>完善婴幼儿照护服务设施建设。</w:t>
      </w:r>
      <w:r>
        <w:rPr>
          <w:rFonts w:hint="eastAsia" w:ascii="仿宋_GB2312" w:hAnsi="仿宋_GB2312" w:cs="仿宋_GB2312"/>
          <w:szCs w:val="30"/>
        </w:rPr>
        <w:t>积极推动建设多元化、多样化的婴幼儿照护服务体系。</w:t>
      </w:r>
      <w:r>
        <w:rPr>
          <w:rFonts w:hint="eastAsia" w:ascii="仿宋_GB2312" w:hAnsi="仿宋_GB2312" w:cs="仿宋_GB2312"/>
        </w:rPr>
        <w:t>在城东新城片区规划市级托育综合服务中心1处，</w:t>
      </w:r>
      <w:r>
        <w:rPr>
          <w:rFonts w:hint="eastAsia" w:ascii="仿宋_GB2312" w:hAnsi="仿宋_GB2312" w:cs="仿宋_GB2312"/>
          <w:szCs w:val="30"/>
        </w:rPr>
        <w:t>加强家庭科学育儿指导。各社区结合5—15分钟生活圈配置婴幼儿照护服务设施。</w:t>
      </w:r>
    </w:p>
    <w:p>
      <w:pPr>
        <w:snapToGrid w:val="0"/>
        <w:ind w:firstLine="643"/>
        <w:rPr>
          <w:rFonts w:ascii="仿宋_GB2312" w:hAnsi="仿宋_GB2312" w:cs="仿宋_GB2312"/>
          <w:szCs w:val="30"/>
        </w:rPr>
      </w:pPr>
      <w:r>
        <w:rPr>
          <w:rFonts w:hint="eastAsia" w:ascii="仿宋_GB2312" w:hAnsi="仿宋_GB2312" w:cs="仿宋_GB2312"/>
          <w:b/>
          <w:szCs w:val="30"/>
        </w:rPr>
        <w:t>社会福利设施。</w:t>
      </w:r>
      <w:r>
        <w:rPr>
          <w:rFonts w:hint="eastAsia" w:ascii="仿宋_GB2312" w:hAnsi="仿宋_GB2312" w:cs="仿宋_GB2312"/>
          <w:szCs w:val="30"/>
        </w:rPr>
        <w:t>到2035年，中心城区共规划市级福利设施4处，为贺州市贺寿颐养中心（含社会福利院、儿童福利院、救助管理站、老年公寓）、贺州市颐养休闲公寓、贺州广济康复养老院、贺州市残疾人康复中心；规划</w:t>
      </w:r>
      <w:r>
        <w:rPr>
          <w:rFonts w:hint="eastAsia" w:ascii="仿宋_GB2312" w:hAnsi="仿宋_GB2312" w:cs="仿宋_GB2312"/>
        </w:rPr>
        <w:t>市级民政福利医院1所，</w:t>
      </w:r>
      <w:r>
        <w:rPr>
          <w:rFonts w:hint="eastAsia" w:ascii="仿宋_GB2312" w:hAnsi="仿宋_GB2312" w:cs="仿宋_GB2312"/>
          <w:szCs w:val="30"/>
        </w:rPr>
        <w:t>片区级福利设施8处，各社区结合5—15分钟生活圈完善社区居家养老服务设施。</w:t>
      </w:r>
    </w:p>
    <w:p>
      <w:pPr>
        <w:ind w:firstLine="643"/>
        <w:rPr>
          <w:rFonts w:ascii="仿宋_GB2312" w:hAnsi="仿宋_GB2312" w:cs="仿宋_GB2312"/>
          <w:b/>
          <w:bCs/>
        </w:rPr>
      </w:pPr>
      <w:r>
        <w:rPr>
          <w:rFonts w:hint="eastAsia" w:ascii="仿宋_GB2312" w:hAnsi="仿宋_GB2312" w:cs="仿宋_GB2312"/>
          <w:b/>
          <w:bCs/>
        </w:rPr>
        <w:t>商业服务设施。</w:t>
      </w:r>
      <w:r>
        <w:rPr>
          <w:rFonts w:hint="eastAsia" w:ascii="仿宋_GB2312" w:hAnsi="仿宋_GB2312" w:cs="仿宋_GB2312"/>
        </w:rPr>
        <w:t>依托贺州火车站建设城市级综合商业中心；建设完善平桂新城片区、高新技术产业片区、八步老城片区、城东新城片区、江南新城片区五个城区级商业中心；街道级和社区级中心按照每处服务3-5万人标准进行建设。特色商业街区：依托中心城区自然和历史资源，建设老城滨江商业休闲带、贺街历史文化商业街区。结合城市主要出入口布置9处专业市场。</w:t>
      </w:r>
    </w:p>
    <w:p>
      <w:pPr>
        <w:pStyle w:val="2"/>
        <w:ind w:firstLine="643"/>
        <w:rPr>
          <w:rFonts w:ascii="仿宋_GB2312" w:hAnsi="仿宋_GB2312" w:cs="仿宋_GB2312"/>
          <w:b/>
          <w:szCs w:val="30"/>
        </w:rPr>
      </w:pPr>
      <w:r>
        <w:rPr>
          <w:rFonts w:hint="eastAsia" w:ascii="仿宋_GB2312" w:hAnsi="仿宋_GB2312" w:cs="仿宋_GB2312"/>
          <w:b/>
          <w:bCs/>
        </w:rPr>
        <w:t>殡葬设施。</w:t>
      </w:r>
      <w:r>
        <w:rPr>
          <w:rFonts w:hint="eastAsia" w:ascii="仿宋_GB2312" w:hAnsi="仿宋_GB2312" w:cs="仿宋_GB2312"/>
          <w:bCs/>
          <w:szCs w:val="30"/>
        </w:rPr>
        <w:t>保留</w:t>
      </w:r>
      <w:r>
        <w:rPr>
          <w:rFonts w:hint="eastAsia" w:ascii="仿宋_GB2312" w:hAnsi="仿宋_GB2312" w:cs="仿宋_GB2312"/>
          <w:szCs w:val="30"/>
        </w:rPr>
        <w:t>莲花墓园、古柏山烈士陵园，建设古柏山公墓、福安源生态墓园、西湾岩口公墓；改扩建贺州市殡仪馆。</w:t>
      </w:r>
    </w:p>
    <w:p>
      <w:pPr>
        <w:pStyle w:val="5"/>
        <w:numPr>
          <w:ilvl w:val="0"/>
          <w:numId w:val="5"/>
        </w:numPr>
        <w:spacing w:before="156" w:after="0" w:afterLines="0"/>
        <w:ind w:left="0" w:firstLine="640"/>
        <w:rPr>
          <w:lang w:val="zh-CN"/>
        </w:rPr>
      </w:pPr>
      <w:r>
        <w:rPr>
          <w:rFonts w:hint="eastAsia"/>
          <w:lang w:val="zh-CN"/>
        </w:rPr>
        <w:t>社区生活圈</w:t>
      </w:r>
    </w:p>
    <w:p>
      <w:pPr>
        <w:ind w:firstLine="643"/>
        <w:rPr>
          <w:rFonts w:ascii="仿宋_GB2312" w:hAnsi="仿宋_GB2312" w:cs="仿宋_GB2312"/>
          <w:szCs w:val="30"/>
        </w:rPr>
      </w:pPr>
      <w:bookmarkStart w:id="288" w:name="_Toc9000"/>
      <w:bookmarkStart w:id="289" w:name="_Toc3974"/>
      <w:bookmarkStart w:id="290" w:name="_Toc25078"/>
      <w:bookmarkStart w:id="291" w:name="_Toc31369"/>
      <w:bookmarkStart w:id="292" w:name="_Toc26735"/>
      <w:bookmarkStart w:id="293" w:name="_Toc26893"/>
      <w:bookmarkStart w:id="294" w:name="_Toc12738"/>
      <w:bookmarkStart w:id="295" w:name="_Toc18445"/>
      <w:bookmarkStart w:id="296" w:name="_Toc16136"/>
      <w:bookmarkStart w:id="297" w:name="_Toc30983"/>
      <w:r>
        <w:rPr>
          <w:rFonts w:hint="eastAsia" w:ascii="仿宋_GB2312" w:hAnsi="仿宋_GB2312" w:cs="仿宋_GB2312"/>
          <w:b/>
          <w:bCs/>
          <w:szCs w:val="30"/>
        </w:rPr>
        <w:t>划定31个15分钟社区生活圈，推进公共服务设施均等化。</w:t>
      </w:r>
      <w:r>
        <w:rPr>
          <w:rFonts w:hint="eastAsia" w:ascii="仿宋_GB2312" w:hAnsi="仿宋_GB2312" w:cs="仿宋_GB2312"/>
          <w:szCs w:val="30"/>
        </w:rPr>
        <w:t>以“创新、协调、开放、绿色、共享”为发展理念，按照15分钟步行可达的空间范围，结合自然地形地貌、城市道路及社区行政边界划定中心城区社区生活圈。根据片区发展特征划分产城融合、新城建设、老城提升和城乡文旅四种类型社区生活圈，分类提出建设指引。持续推进基本公共服务均等化，主动适应未来发展趋势，建设全年龄友好健康城市，实现公共服务设施数量达标、标准达标、布局合理、使用便利。</w:t>
      </w:r>
    </w:p>
    <w:p>
      <w:pPr>
        <w:ind w:firstLine="643"/>
        <w:rPr>
          <w:rFonts w:ascii="仿宋_GB2312" w:hAnsi="仿宋_GB2312" w:cs="仿宋_GB2312"/>
          <w:szCs w:val="30"/>
        </w:rPr>
      </w:pPr>
      <w:r>
        <w:rPr>
          <w:rFonts w:hint="eastAsia" w:ascii="仿宋_GB2312" w:hAnsi="仿宋_GB2312" w:cs="仿宋_GB2312"/>
          <w:b/>
          <w:bCs/>
          <w:szCs w:val="30"/>
        </w:rPr>
        <w:t>——产城融合类社区生活圈。</w:t>
      </w:r>
      <w:r>
        <w:rPr>
          <w:rFonts w:hint="eastAsia" w:ascii="仿宋_GB2312" w:hAnsi="仿宋_GB2312" w:cs="仿宋_GB2312"/>
          <w:szCs w:val="30"/>
        </w:rPr>
        <w:t>主要分布于旺高产业片区、碳酸钙产业（西湾）片区及高新技术产业片区，以满足日常生活需求的设施建设为主。</w:t>
      </w:r>
    </w:p>
    <w:p>
      <w:pPr>
        <w:ind w:firstLine="643"/>
        <w:rPr>
          <w:rFonts w:ascii="仿宋_GB2312" w:hAnsi="仿宋_GB2312" w:cs="仿宋_GB2312"/>
          <w:szCs w:val="30"/>
        </w:rPr>
      </w:pPr>
      <w:r>
        <w:rPr>
          <w:rFonts w:hint="eastAsia" w:ascii="仿宋_GB2312" w:hAnsi="仿宋_GB2312" w:cs="仿宋_GB2312"/>
          <w:b/>
          <w:bCs/>
          <w:szCs w:val="30"/>
        </w:rPr>
        <w:t>——城乡文旅类社区生活圈。</w:t>
      </w:r>
      <w:r>
        <w:rPr>
          <w:rFonts w:hint="eastAsia" w:ascii="仿宋_GB2312" w:hAnsi="仿宋_GB2312" w:cs="仿宋_GB2312"/>
          <w:szCs w:val="30"/>
        </w:rPr>
        <w:t>主要分布于</w:t>
      </w:r>
      <w:r>
        <w:rPr>
          <w:rFonts w:hint="eastAsia" w:ascii="仿宋_GB2312" w:hAnsi="仿宋_GB2312" w:cs="仿宋_GB2312"/>
        </w:rPr>
        <w:t>姑婆山片区及</w:t>
      </w:r>
      <w:r>
        <w:rPr>
          <w:rFonts w:hint="eastAsia" w:ascii="仿宋_GB2312" w:hAnsi="仿宋_GB2312" w:cs="仿宋_GB2312"/>
          <w:szCs w:val="30"/>
        </w:rPr>
        <w:t>贺街片区，应适当增设文化旅游服务设施。</w:t>
      </w:r>
    </w:p>
    <w:p>
      <w:pPr>
        <w:ind w:firstLine="643"/>
        <w:rPr>
          <w:rFonts w:ascii="仿宋_GB2312" w:hAnsi="仿宋_GB2312" w:cs="仿宋_GB2312"/>
          <w:szCs w:val="30"/>
        </w:rPr>
      </w:pPr>
      <w:r>
        <w:rPr>
          <w:rFonts w:hint="eastAsia" w:ascii="仿宋_GB2312" w:hAnsi="仿宋_GB2312" w:cs="仿宋_GB2312"/>
          <w:b/>
          <w:bCs/>
          <w:szCs w:val="30"/>
        </w:rPr>
        <w:t>——新城建设类社区生活圈。</w:t>
      </w:r>
      <w:r>
        <w:rPr>
          <w:rFonts w:hint="eastAsia" w:ascii="仿宋_GB2312" w:hAnsi="仿宋_GB2312" w:cs="仿宋_GB2312"/>
          <w:szCs w:val="30"/>
        </w:rPr>
        <w:t>主要分布于东融新城片区和城东新城片区，应提供与新城区匹配的高水平服务设施。</w:t>
      </w:r>
    </w:p>
    <w:p>
      <w:pPr>
        <w:ind w:firstLine="643"/>
      </w:pPr>
      <w:r>
        <w:rPr>
          <w:rFonts w:hint="eastAsia" w:ascii="仿宋_GB2312" w:hAnsi="仿宋_GB2312" w:cs="仿宋_GB2312"/>
          <w:b/>
          <w:bCs/>
          <w:szCs w:val="30"/>
        </w:rPr>
        <w:t>——老城提升类社区生活圈。</w:t>
      </w:r>
      <w:r>
        <w:rPr>
          <w:rFonts w:hint="eastAsia" w:ascii="仿宋_GB2312" w:hAnsi="仿宋_GB2312" w:cs="仿宋_GB2312"/>
          <w:szCs w:val="30"/>
        </w:rPr>
        <w:t>主要位于八步老城片区和平桂新城片区东部，应结合城市更新补齐教育、医疗、养老等设施短板。</w:t>
      </w:r>
    </w:p>
    <w:p>
      <w:pPr>
        <w:pStyle w:val="4"/>
        <w:numPr>
          <w:ilvl w:val="0"/>
          <w:numId w:val="11"/>
        </w:numPr>
        <w:tabs>
          <w:tab w:val="left" w:pos="360"/>
        </w:tabs>
        <w:spacing w:before="156" w:beforeLines="50" w:line="460" w:lineRule="exact"/>
        <w:ind w:left="0" w:firstLine="0"/>
        <w:rPr>
          <w:rFonts w:ascii="Times New Roman" w:hAnsi="Times New Roman"/>
        </w:rPr>
      </w:pPr>
      <w:bookmarkStart w:id="298" w:name="_Toc27625_WPSOffice_Level2"/>
      <w:bookmarkStart w:id="299" w:name="_Toc213018264"/>
      <w:r>
        <w:rPr>
          <w:rFonts w:hint="eastAsia" w:ascii="Times New Roman" w:hAnsi="Times New Roman"/>
        </w:rPr>
        <w:t>蓝绿网络和开敞空间</w:t>
      </w:r>
      <w:bookmarkEnd w:id="288"/>
      <w:bookmarkEnd w:id="289"/>
      <w:bookmarkEnd w:id="290"/>
      <w:bookmarkEnd w:id="291"/>
      <w:bookmarkEnd w:id="292"/>
      <w:bookmarkEnd w:id="293"/>
      <w:bookmarkEnd w:id="294"/>
      <w:bookmarkEnd w:id="295"/>
      <w:bookmarkEnd w:id="296"/>
      <w:bookmarkEnd w:id="297"/>
      <w:bookmarkEnd w:id="298"/>
      <w:bookmarkEnd w:id="299"/>
    </w:p>
    <w:p>
      <w:pPr>
        <w:pStyle w:val="5"/>
        <w:numPr>
          <w:ilvl w:val="0"/>
          <w:numId w:val="5"/>
        </w:numPr>
        <w:spacing w:before="156" w:after="0" w:afterLines="0"/>
        <w:ind w:left="0" w:firstLine="640"/>
        <w:rPr>
          <w:lang w:val="zh-CN"/>
        </w:rPr>
      </w:pPr>
      <w:r>
        <w:rPr>
          <w:rFonts w:hint="eastAsia"/>
          <w:lang w:val="zh-CN"/>
        </w:rPr>
        <w:t>公园城市的塑造</w:t>
      </w:r>
    </w:p>
    <w:p>
      <w:pPr>
        <w:ind w:firstLine="643"/>
        <w:rPr>
          <w:rFonts w:ascii="仿宋_GB2312" w:hAnsi="仿宋_GB2312" w:cs="仿宋_GB2312"/>
        </w:rPr>
      </w:pPr>
      <w:r>
        <w:rPr>
          <w:rFonts w:hint="eastAsia" w:ascii="仿宋_GB2312" w:hAnsi="仿宋_GB2312" w:cs="仿宋_GB2312"/>
          <w:b/>
        </w:rPr>
        <w:t>践行公园城市理念，形成人、城、境、业高度和谐的城市发展形态。</w:t>
      </w:r>
      <w:r>
        <w:rPr>
          <w:rFonts w:hint="eastAsia" w:ascii="仿宋_GB2312" w:hAnsi="仿宋_GB2312" w:cs="仿宋_GB2312"/>
        </w:rPr>
        <w:t>构建全域公园体系，塑造山清水秀、推窗见田、出门见绿，绿道成网的“城园相融”的公园城市大美形态。并以公园城市为抓手，通过创新产业布局模式，推进产业绿色发展，打造公园街区、公园社区等措施转变经济组织方式，形成人城境业和谐统一的公园城市发展模式。突出贺州文化特色，打造多元化主题公园，增强文化识别性、增加文体公共设施来突出公园城市文化特色，打造贺州长寿文化景观体系，彰显人文荟萃、特色鲜明的公园城市文化魅力。推进绿色基础设施建设，完善服务支撑体系，营造全民共享、高效便捷的公园城市宜居环境。</w:t>
      </w:r>
    </w:p>
    <w:p>
      <w:pPr>
        <w:pStyle w:val="5"/>
        <w:numPr>
          <w:ilvl w:val="0"/>
          <w:numId w:val="5"/>
        </w:numPr>
        <w:spacing w:before="156" w:after="0" w:afterLines="0"/>
        <w:ind w:left="0" w:firstLine="640"/>
        <w:rPr>
          <w:lang w:val="zh-CN"/>
        </w:rPr>
      </w:pPr>
      <w:r>
        <w:rPr>
          <w:rFonts w:hint="eastAsia"/>
          <w:lang w:val="zh-CN"/>
        </w:rPr>
        <w:t>开敞空间</w:t>
      </w:r>
    </w:p>
    <w:p>
      <w:pPr>
        <w:ind w:firstLine="643"/>
        <w:rPr>
          <w:rFonts w:ascii="仿宋_GB2312" w:hAnsi="仿宋_GB2312" w:cs="仿宋_GB2312"/>
        </w:rPr>
      </w:pPr>
      <w:r>
        <w:rPr>
          <w:rFonts w:hint="eastAsia" w:ascii="仿宋_GB2312" w:hAnsi="仿宋_GB2312" w:cs="仿宋_GB2312"/>
          <w:b/>
        </w:rPr>
        <w:t>打造“四楔、两廊、二十四园”“一环十道”的蓝绿活力骨架。</w:t>
      </w:r>
      <w:r>
        <w:rPr>
          <w:rFonts w:hint="eastAsia" w:ascii="仿宋_GB2312" w:hAnsi="仿宋_GB2312" w:cs="仿宋_GB2312"/>
        </w:rPr>
        <w:t>以山—水—城的空间格局和河流、湖库的整体骨架体系为基础，构建多类型、多层次、多功能的大公园体系，建设“白云游走、蓝绿交织、活力四射”的公园城市。</w:t>
      </w:r>
    </w:p>
    <w:p>
      <w:pPr>
        <w:ind w:firstLine="643"/>
        <w:rPr>
          <w:rFonts w:ascii="仿宋_GB2312" w:hAnsi="仿宋_GB2312" w:cs="仿宋_GB2312"/>
        </w:rPr>
      </w:pPr>
      <w:r>
        <w:rPr>
          <w:rFonts w:hint="eastAsia" w:ascii="仿宋_GB2312" w:hAnsi="仿宋_GB2312" w:cs="仿宋_GB2312"/>
          <w:b/>
        </w:rPr>
        <w:t>——“四楔”。</w:t>
      </w:r>
      <w:r>
        <w:rPr>
          <w:rFonts w:hint="eastAsia" w:ascii="仿宋_GB2312" w:hAnsi="仿宋_GB2312" w:cs="仿宋_GB2312"/>
        </w:rPr>
        <w:t>即依托贺州市中心城区外围自然山体形成四块楔形绿地嵌入城市内部，作为向中心城区输送新鲜空气的通风廊道。</w:t>
      </w:r>
    </w:p>
    <w:p>
      <w:pPr>
        <w:ind w:firstLine="643"/>
        <w:rPr>
          <w:rFonts w:ascii="仿宋_GB2312" w:hAnsi="仿宋_GB2312" w:cs="仿宋_GB2312"/>
        </w:rPr>
      </w:pPr>
      <w:r>
        <w:rPr>
          <w:rFonts w:hint="eastAsia" w:ascii="仿宋_GB2312" w:hAnsi="仿宋_GB2312" w:cs="仿宋_GB2312"/>
          <w:b/>
        </w:rPr>
        <w:t>——“两廊”。</w:t>
      </w:r>
      <w:r>
        <w:rPr>
          <w:rFonts w:hint="eastAsia" w:ascii="仿宋_GB2312" w:hAnsi="仿宋_GB2312" w:cs="仿宋_GB2312"/>
        </w:rPr>
        <w:t>即依托贺江和马尾河，打造两条湖库串珠的蓝色生态廊道。</w:t>
      </w:r>
    </w:p>
    <w:p>
      <w:pPr>
        <w:ind w:firstLine="643"/>
        <w:rPr>
          <w:rFonts w:ascii="仿宋_GB2312" w:hAnsi="仿宋_GB2312" w:cs="仿宋_GB2312"/>
        </w:rPr>
      </w:pPr>
      <w:r>
        <w:rPr>
          <w:rFonts w:hint="eastAsia" w:ascii="仿宋_GB2312" w:hAnsi="仿宋_GB2312" w:cs="仿宋_GB2312"/>
          <w:b/>
        </w:rPr>
        <w:t>——“二十四园”。</w:t>
      </w:r>
      <w:r>
        <w:rPr>
          <w:rFonts w:hint="eastAsia" w:ascii="仿宋_GB2312" w:hAnsi="仿宋_GB2312" w:cs="仿宋_GB2312"/>
        </w:rPr>
        <w:t>即依托中心城区综合公园、专类公园、郊野公园、社区公园等共打造24个公园，均衡分布，实现公园绿地、广场步行5分钟覆盖率指标要求。</w:t>
      </w:r>
    </w:p>
    <w:p>
      <w:pPr>
        <w:ind w:firstLine="643"/>
        <w:rPr>
          <w:rFonts w:ascii="仿宋_GB2312" w:hAnsi="仿宋_GB2312" w:cs="仿宋_GB2312"/>
        </w:rPr>
      </w:pPr>
      <w:r>
        <w:rPr>
          <w:rFonts w:hint="eastAsia" w:ascii="仿宋_GB2312" w:hAnsi="仿宋_GB2312" w:cs="仿宋_GB2312"/>
          <w:b/>
        </w:rPr>
        <w:t>——“一环”。</w:t>
      </w:r>
      <w:r>
        <w:rPr>
          <w:rFonts w:hint="eastAsia" w:ascii="仿宋_GB2312" w:hAnsi="仿宋_GB2312" w:cs="仿宋_GB2312"/>
        </w:rPr>
        <w:t>即沿北环路绿道及马尾河碧道、贺江北岸碧道形成的环形绿道。</w:t>
      </w:r>
    </w:p>
    <w:p>
      <w:pPr>
        <w:ind w:firstLine="643"/>
        <w:rPr>
          <w:rFonts w:ascii="仿宋_GB2312" w:hAnsi="仿宋_GB2312" w:cs="仿宋_GB2312"/>
        </w:rPr>
      </w:pPr>
      <w:r>
        <w:rPr>
          <w:rFonts w:hint="eastAsia" w:ascii="仿宋_GB2312" w:hAnsi="仿宋_GB2312" w:cs="仿宋_GB2312"/>
          <w:b/>
        </w:rPr>
        <w:t>——“十道”。</w:t>
      </w:r>
      <w:r>
        <w:rPr>
          <w:rFonts w:hint="eastAsia" w:ascii="仿宋_GB2312" w:hAnsi="仿宋_GB2312" w:cs="仿宋_GB2312"/>
        </w:rPr>
        <w:t>即依托西湾河、沙田河、盘谷河、里宁河、大宁河等多条河道，打造十条通山达江的生态休闲碧道，连接山水，贯穿城市内部，串联公共中心，历史文化场所、城市公园以及沿线各类社区公园，植入各类文化及活动设施，提高河岸的可达性，完善休闲步道，景观节点和休憩场所，以趣味性、高品质的滨水空间提升城市活力，实现中心城区各个组团间预留不少于100米的生态廊道。</w:t>
      </w:r>
    </w:p>
    <w:p>
      <w:pPr>
        <w:pStyle w:val="5"/>
        <w:numPr>
          <w:ilvl w:val="0"/>
          <w:numId w:val="5"/>
        </w:numPr>
        <w:spacing w:before="156" w:after="0" w:afterLines="0"/>
        <w:ind w:left="0" w:firstLine="640"/>
        <w:rPr>
          <w:lang w:val="zh-CN"/>
        </w:rPr>
      </w:pPr>
      <w:r>
        <w:rPr>
          <w:rFonts w:hint="eastAsia"/>
          <w:lang w:val="zh-CN"/>
        </w:rPr>
        <w:t>公园绿地系统</w:t>
      </w:r>
    </w:p>
    <w:p>
      <w:pPr>
        <w:ind w:firstLine="640"/>
        <w:rPr>
          <w:rFonts w:ascii="仿宋_GB2312" w:hAnsi="仿宋_GB2312" w:cs="仿宋_GB2312"/>
        </w:rPr>
      </w:pPr>
      <w:r>
        <w:rPr>
          <w:rFonts w:hint="eastAsia" w:ascii="仿宋_GB2312" w:hAnsi="仿宋_GB2312" w:cs="仿宋_GB2312"/>
        </w:rPr>
        <w:t>通过大型郊野公园、滨水线性公园及城市综合公园、社区公园、体育公园等各类不同尺度、不同功能的公园建设，实现300米见绿地，500米见公园，3000米进森林，街道100%林荫化。</w:t>
      </w:r>
    </w:p>
    <w:p>
      <w:pPr>
        <w:pStyle w:val="5"/>
        <w:numPr>
          <w:ilvl w:val="0"/>
          <w:numId w:val="5"/>
        </w:numPr>
        <w:spacing w:before="156" w:after="0" w:afterLines="0"/>
        <w:ind w:left="0" w:firstLine="640"/>
        <w:rPr>
          <w:lang w:val="zh-CN"/>
        </w:rPr>
      </w:pPr>
      <w:r>
        <w:rPr>
          <w:rFonts w:hint="eastAsia"/>
          <w:lang w:val="zh-CN"/>
        </w:rPr>
        <w:t>构建绿道碧道慢行网络</w:t>
      </w:r>
    </w:p>
    <w:p>
      <w:pPr>
        <w:ind w:firstLine="643"/>
        <w:rPr>
          <w:rFonts w:ascii="仿宋_GB2312" w:hAnsi="仿宋_GB2312" w:cs="仿宋_GB2312"/>
          <w:b/>
        </w:rPr>
      </w:pPr>
      <w:r>
        <w:rPr>
          <w:rFonts w:hint="eastAsia" w:ascii="仿宋_GB2312" w:hAnsi="仿宋_GB2312" w:cs="仿宋_GB2312"/>
          <w:b/>
        </w:rPr>
        <w:t>构建“自然生态型、都市型、城镇型、乡村型”四大休闲游憩碧道网络体系。</w:t>
      </w:r>
    </w:p>
    <w:p>
      <w:pPr>
        <w:ind w:firstLine="640"/>
        <w:rPr>
          <w:lang w:val="zh-CN"/>
        </w:rPr>
      </w:pPr>
      <w:r>
        <w:rPr>
          <w:rFonts w:hint="eastAsia" w:ascii="仿宋_GB2312" w:hAnsi="仿宋_GB2312" w:cs="仿宋_GB2312"/>
        </w:rPr>
        <w:t>串联各滨水公园、湿地公园、城市公园、体育公园、文化驿站等多功能元素，形成集健身、休闲、娱乐、游憩等多功能的活力多元、景观多样的碧道网络空间。近期重点打造贺江、马尾河（莲塘段）两岸，按照都市型碧道进行规划建设，树立碧道建设标杆；远期提升马尾河、西湾河、里宁河、大宁河、盘谷河、沙田河等滨江空间，中心城区水系按照都市型碧道进行规划建设，中心城区外围水系根据所处区位及环境特征按照自然生态型、城镇型、乡村型碧道进行规划建设，形成一系列特色碧道和主题场景，河湖保护、绿色发展、生态环境得到根本好转。</w:t>
      </w:r>
    </w:p>
    <w:p>
      <w:pPr>
        <w:ind w:firstLine="643"/>
      </w:pPr>
      <w:r>
        <w:rPr>
          <w:rFonts w:hint="eastAsia" w:ascii="仿宋_GB2312" w:hAnsi="仿宋_GB2312" w:cs="仿宋_GB2312"/>
          <w:b/>
        </w:rPr>
        <w:t>构建“四水六山十河”两级通风廊道。</w:t>
      </w:r>
      <w:r>
        <w:rPr>
          <w:rFonts w:hint="eastAsia" w:ascii="仿宋_GB2312" w:hAnsi="仿宋_GB2312" w:cs="仿宋_GB2312"/>
        </w:rPr>
        <w:t>依托贺江、马尾河、沙田河、大宁河及其两侧绿地，控制四条沿河一级通风廊道；顺应中心城区周边主要山体控制六条沿山一级通风廊道；依托白沙河、西湾河、盘谷河、桃源河等贺江支流及其周边绿地控制十条二级通风廊道。控制城市汇风口和聚风口，避免屏风式建筑布局，控制主要入风口建设增量，形成有利于通风与清洁的空间环境。提升城市整体的环境自净效能，调节微气候，缓解热岛效应，改善城市生态环境。</w:t>
      </w:r>
    </w:p>
    <w:p>
      <w:pPr>
        <w:pStyle w:val="5"/>
        <w:numPr>
          <w:ilvl w:val="0"/>
          <w:numId w:val="5"/>
        </w:numPr>
        <w:spacing w:before="156" w:after="0" w:afterLines="0" w:line="400" w:lineRule="exact"/>
        <w:ind w:left="0" w:firstLine="640"/>
        <w:rPr>
          <w:lang w:val="zh-CN"/>
        </w:rPr>
      </w:pPr>
      <w:r>
        <w:rPr>
          <w:rFonts w:hint="eastAsia"/>
          <w:lang w:val="zh-CN"/>
        </w:rPr>
        <w:t>水系规划</w:t>
      </w:r>
    </w:p>
    <w:p>
      <w:pPr>
        <w:ind w:firstLine="643"/>
        <w:rPr>
          <w:rFonts w:ascii="仿宋_GB2312" w:hAnsi="仿宋_GB2312" w:cs="仿宋_GB2312"/>
        </w:rPr>
      </w:pPr>
      <w:r>
        <w:rPr>
          <w:rFonts w:hint="eastAsia" w:ascii="仿宋_GB2312" w:hAnsi="仿宋_GB2312" w:cs="仿宋_GB2312"/>
          <w:b/>
        </w:rPr>
        <w:t>构建城市良性水循环系统。</w:t>
      </w:r>
      <w:r>
        <w:rPr>
          <w:rFonts w:hint="eastAsia" w:ascii="仿宋_GB2312" w:hAnsi="仿宋_GB2312" w:cs="仿宋_GB2312"/>
        </w:rPr>
        <w:t>依托西湾河、马尾河、沙田河、盘谷河、华山河、狮子岗河、桃源河、黄安寺河、大宁河等九条河流及贺江，爱莲湖、金泰湖、永丰湖三湖，构筑“江纳九河、湖映新城”的水系结构。</w:t>
      </w:r>
    </w:p>
    <w:p>
      <w:pPr>
        <w:pStyle w:val="5"/>
        <w:numPr>
          <w:ilvl w:val="0"/>
          <w:numId w:val="5"/>
        </w:numPr>
        <w:spacing w:before="156" w:after="0" w:afterLines="0"/>
        <w:ind w:left="0" w:firstLine="640"/>
        <w:rPr>
          <w:lang w:val="zh-CN"/>
        </w:rPr>
      </w:pPr>
      <w:r>
        <w:rPr>
          <w:rFonts w:hint="eastAsia"/>
          <w:lang w:val="zh-CN"/>
        </w:rPr>
        <w:t>城市绿线</w:t>
      </w:r>
    </w:p>
    <w:p>
      <w:pPr>
        <w:ind w:firstLine="643"/>
        <w:rPr>
          <w:rFonts w:ascii="仿宋_GB2312" w:hAnsi="仿宋_GB2312" w:cs="仿宋_GB2312"/>
        </w:rPr>
      </w:pPr>
      <w:r>
        <w:rPr>
          <w:rFonts w:hint="eastAsia" w:ascii="仿宋_GB2312" w:hAnsi="仿宋_GB2312" w:cs="仿宋_GB2312"/>
          <w:b/>
          <w:bCs/>
        </w:rPr>
        <w:t>保障城市宜居生态环境空间，筑牢城市绿线。</w:t>
      </w:r>
      <w:r>
        <w:rPr>
          <w:rFonts w:hint="eastAsia" w:ascii="仿宋_GB2312" w:hAnsi="仿宋_GB2312" w:cs="仿宋_GB2312"/>
        </w:rPr>
        <w:t>在空间总体规划层次，将大型城市公园划入绿线，并通过人均公园绿地标准和服务半径要求，在详细规划层次逐级划定全部城市绿线，各层次规划及项目审批应严格遵守城市绿线管理要求。</w:t>
      </w:r>
    </w:p>
    <w:p>
      <w:pPr>
        <w:snapToGrid w:val="0"/>
        <w:spacing w:after="156" w:afterLines="50"/>
        <w:ind w:firstLine="643"/>
      </w:pPr>
      <w:r>
        <w:rPr>
          <w:rFonts w:hint="eastAsia" w:ascii="仿宋_GB2312" w:hAnsi="仿宋_GB2312" w:cs="仿宋_GB2312"/>
          <w:b/>
          <w:szCs w:val="30"/>
          <w:u w:val="single"/>
        </w:rPr>
        <w:t>中心城区划定城市绿线包括中心城区内爱莲湖公园、大钟山公园、</w:t>
      </w:r>
      <w:r>
        <w:rPr>
          <w:rFonts w:ascii="仿宋_GB2312" w:hAnsi="仿宋_GB2312" w:cs="仿宋_GB2312"/>
          <w:b/>
          <w:szCs w:val="30"/>
          <w:u w:val="single"/>
        </w:rPr>
        <w:t>北堤公园</w:t>
      </w:r>
      <w:r>
        <w:rPr>
          <w:rFonts w:hint="eastAsia" w:ascii="仿宋_GB2312" w:hAnsi="仿宋_GB2312" w:cs="仿宋_GB2312"/>
          <w:b/>
          <w:szCs w:val="30"/>
          <w:u w:val="single"/>
        </w:rPr>
        <w:t>、永丰湖公园、金泰湖公园、西</w:t>
      </w:r>
      <w:r>
        <w:rPr>
          <w:rFonts w:ascii="仿宋_GB2312" w:hAnsi="仿宋_GB2312" w:cs="仿宋_GB2312"/>
          <w:b/>
          <w:szCs w:val="30"/>
          <w:u w:val="single"/>
        </w:rPr>
        <w:t>湾公园、</w:t>
      </w:r>
      <w:r>
        <w:rPr>
          <w:rFonts w:hint="eastAsia" w:ascii="仿宋_GB2312" w:hAnsi="仿宋_GB2312" w:cs="仿宋_GB2312"/>
          <w:b/>
          <w:szCs w:val="30"/>
          <w:u w:val="single"/>
        </w:rPr>
        <w:t>园博园等公园绿地。</w:t>
      </w:r>
    </w:p>
    <w:p>
      <w:pPr>
        <w:pStyle w:val="5"/>
        <w:numPr>
          <w:ilvl w:val="0"/>
          <w:numId w:val="5"/>
        </w:numPr>
        <w:spacing w:before="156" w:after="0" w:afterLines="0"/>
        <w:ind w:left="0" w:firstLine="640"/>
        <w:rPr>
          <w:lang w:val="zh-CN"/>
        </w:rPr>
      </w:pPr>
      <w:r>
        <w:rPr>
          <w:rFonts w:hint="eastAsia"/>
          <w:lang w:val="zh-CN"/>
        </w:rPr>
        <w:t>城市蓝线</w:t>
      </w:r>
    </w:p>
    <w:p>
      <w:pPr>
        <w:snapToGrid w:val="0"/>
        <w:ind w:firstLine="643"/>
        <w:rPr>
          <w:rFonts w:ascii="仿宋_GB2312" w:hAnsi="仿宋_GB2312" w:cs="仿宋_GB2312"/>
          <w:szCs w:val="30"/>
        </w:rPr>
      </w:pPr>
      <w:r>
        <w:rPr>
          <w:rFonts w:hint="eastAsia" w:ascii="仿宋_GB2312" w:hAnsi="仿宋_GB2312" w:cs="仿宋_GB2312"/>
          <w:b/>
          <w:bCs/>
          <w:szCs w:val="30"/>
        </w:rPr>
        <w:t>完善江湖水面安全防护机制，筑牢城市蓝线。</w:t>
      </w:r>
      <w:r>
        <w:rPr>
          <w:rFonts w:hint="eastAsia" w:ascii="仿宋_GB2312" w:hAnsi="仿宋_GB2312" w:cs="仿宋_GB2312"/>
          <w:szCs w:val="30"/>
        </w:rPr>
        <w:t>在空间总体规划层次，将骨干河道划入城市蓝线，并通过河湖水面率标准和服务半径要求，在详细规划层次逐级划定全部城市蓝线，各层次规划及项目审批应严格遵守城市蓝线管理要求。</w:t>
      </w:r>
    </w:p>
    <w:p>
      <w:pPr>
        <w:snapToGrid w:val="0"/>
        <w:spacing w:after="156" w:afterLines="50"/>
        <w:ind w:firstLine="643"/>
        <w:rPr>
          <w:rFonts w:ascii="仿宋_GB2312" w:hAnsi="仿宋_GB2312" w:cs="仿宋_GB2312"/>
          <w:b/>
          <w:szCs w:val="30"/>
          <w:u w:val="single"/>
        </w:rPr>
      </w:pPr>
      <w:r>
        <w:rPr>
          <w:rFonts w:hint="eastAsia" w:ascii="仿宋_GB2312" w:hAnsi="仿宋_GB2312" w:cs="仿宋_GB2312"/>
          <w:b/>
          <w:szCs w:val="30"/>
          <w:u w:val="single"/>
        </w:rPr>
        <w:t>中心</w:t>
      </w:r>
      <w:r>
        <w:rPr>
          <w:rFonts w:ascii="仿宋_GB2312" w:hAnsi="仿宋_GB2312" w:cs="仿宋_GB2312"/>
          <w:b/>
          <w:szCs w:val="30"/>
          <w:u w:val="single"/>
        </w:rPr>
        <w:t>城区</w:t>
      </w:r>
      <w:r>
        <w:rPr>
          <w:rFonts w:hint="eastAsia" w:ascii="仿宋_GB2312" w:hAnsi="仿宋_GB2312" w:cs="仿宋_GB2312"/>
          <w:b/>
          <w:szCs w:val="30"/>
          <w:u w:val="single"/>
        </w:rPr>
        <w:t>划定城市蓝线包括中心城区内主要水体的界线，包括贺江、马尾河、大宁河、沙田河、华山河、盘谷河、桃源河、狮子岗河、黄安寺河、爱莲湖、永丰湖、金泰湖等河流、湖泊及其他水体的范围。</w:t>
      </w:r>
    </w:p>
    <w:p>
      <w:pPr>
        <w:pStyle w:val="4"/>
        <w:numPr>
          <w:ilvl w:val="0"/>
          <w:numId w:val="11"/>
        </w:numPr>
        <w:tabs>
          <w:tab w:val="left" w:pos="360"/>
        </w:tabs>
        <w:spacing w:before="312" w:beforeLines="100" w:line="460" w:lineRule="exact"/>
        <w:ind w:left="0" w:firstLine="0"/>
        <w:rPr>
          <w:rFonts w:ascii="Times New Roman" w:hAnsi="Times New Roman"/>
        </w:rPr>
      </w:pPr>
      <w:bookmarkStart w:id="300" w:name="_Toc7867"/>
      <w:bookmarkStart w:id="301" w:name="_Toc9643"/>
      <w:bookmarkStart w:id="302" w:name="_Toc744"/>
      <w:bookmarkStart w:id="303" w:name="_Toc3912"/>
      <w:bookmarkStart w:id="304" w:name="_Toc2098"/>
      <w:bookmarkStart w:id="305" w:name="_Toc26115"/>
      <w:bookmarkStart w:id="306" w:name="_Toc213018265"/>
      <w:bookmarkStart w:id="307" w:name="_Toc10719_WPSOffice_Level2"/>
      <w:bookmarkStart w:id="308" w:name="_Toc13520"/>
      <w:bookmarkStart w:id="309" w:name="_Toc24724"/>
      <w:bookmarkStart w:id="310" w:name="_Toc31488"/>
      <w:bookmarkStart w:id="311" w:name="_Toc22932"/>
      <w:r>
        <w:rPr>
          <w:rFonts w:hint="eastAsia" w:ascii="Times New Roman" w:hAnsi="Times New Roman"/>
        </w:rPr>
        <w:t>城市综合交通</w:t>
      </w:r>
      <w:bookmarkEnd w:id="300"/>
      <w:bookmarkEnd w:id="301"/>
      <w:bookmarkEnd w:id="302"/>
      <w:bookmarkEnd w:id="303"/>
      <w:bookmarkEnd w:id="304"/>
      <w:bookmarkEnd w:id="305"/>
      <w:bookmarkEnd w:id="306"/>
      <w:bookmarkEnd w:id="307"/>
      <w:bookmarkEnd w:id="308"/>
      <w:bookmarkEnd w:id="309"/>
      <w:bookmarkEnd w:id="310"/>
      <w:bookmarkEnd w:id="311"/>
    </w:p>
    <w:p>
      <w:pPr>
        <w:pStyle w:val="5"/>
        <w:numPr>
          <w:ilvl w:val="0"/>
          <w:numId w:val="5"/>
        </w:numPr>
        <w:spacing w:before="156" w:after="0" w:afterLines="0"/>
        <w:ind w:left="0" w:firstLine="640"/>
        <w:rPr>
          <w:lang w:val="zh-CN"/>
        </w:rPr>
      </w:pPr>
      <w:r>
        <w:rPr>
          <w:rFonts w:hint="eastAsia"/>
          <w:lang w:val="zh-CN"/>
        </w:rPr>
        <w:t>对外交通规划</w:t>
      </w:r>
    </w:p>
    <w:p>
      <w:pPr>
        <w:snapToGrid w:val="0"/>
        <w:ind w:firstLine="643"/>
        <w:rPr>
          <w:rFonts w:ascii="仿宋_GB2312" w:hAnsi="仿宋_GB2312" w:cs="仿宋_GB2312"/>
          <w:bCs/>
          <w:szCs w:val="30"/>
        </w:rPr>
      </w:pPr>
      <w:r>
        <w:rPr>
          <w:rFonts w:hint="eastAsia" w:ascii="仿宋_GB2312" w:hAnsi="仿宋_GB2312" w:cs="仿宋_GB2312"/>
          <w:b/>
          <w:szCs w:val="30"/>
        </w:rPr>
        <w:t>完善铁路网络布局。</w:t>
      </w:r>
      <w:r>
        <w:rPr>
          <w:rFonts w:hint="eastAsia" w:ascii="仿宋_GB2312" w:hAnsi="仿宋_GB2312" w:cs="仿宋_GB2312"/>
          <w:bCs/>
          <w:szCs w:val="30"/>
        </w:rPr>
        <w:t>中心城区在现状贵阳至广州铁路、益湛铁路的基础上，新建柳州至贺州城际铁路、贺州至梧州城际铁路、京广二通道（贺州联络线）高铁、渝粤铁路（桂林经贺州至肇庆段）、柳州经贺州至韶关铁路5条干线铁路，加强与周边城市联系；规划贺州至姑婆山磁悬浮专列、贺州至南乡支线和贺州至黄姚（昭平）支线3条旅游支线铁路与市域旅游景区联系；规划贺江贺街作业区专用线、贺州里松新型材料加工园区铁路专用线和中资控股钟山铁路专用线3条产业支线铁路与港口作业区、产业园区联系。中心城区布局6座火车站，即贺州站、贺州东站、贺州东（货运站）、钟山站（旺高）、贺街南站和贺州北站，其中贺州站现状为二级站，规划提升为一级站；钟山站（旺高）为三级货运站；贺州东站、贺州东（货运站）、贺街南站和贺州北站为规划预留。</w:t>
      </w:r>
    </w:p>
    <w:p>
      <w:pPr>
        <w:pStyle w:val="2"/>
        <w:snapToGrid w:val="0"/>
        <w:ind w:firstLine="643"/>
        <w:rPr>
          <w:rFonts w:ascii="仿宋_GB2312" w:hAnsi="仿宋_GB2312" w:cs="仿宋_GB2312"/>
          <w:szCs w:val="30"/>
        </w:rPr>
      </w:pPr>
      <w:r>
        <w:rPr>
          <w:rFonts w:hint="eastAsia" w:ascii="仿宋_GB2312" w:hAnsi="仿宋_GB2312" w:cs="仿宋_GB2312"/>
          <w:b/>
          <w:szCs w:val="30"/>
        </w:rPr>
        <w:t>完善公路交通网络。</w:t>
      </w:r>
      <w:r>
        <w:rPr>
          <w:rFonts w:hint="eastAsia" w:ascii="仿宋_GB2312" w:hAnsi="仿宋_GB2312" w:cs="仿宋_GB2312"/>
          <w:szCs w:val="30"/>
        </w:rPr>
        <w:t>规划在现状汕昆高速、包茂高速的基础上，新建</w:t>
      </w:r>
      <w:r>
        <w:rPr>
          <w:rFonts w:hint="eastAsia" w:ascii="仿宋_GB2312" w:hAnsi="仿宋_GB2312" w:cs="仿宋_GB2312"/>
        </w:rPr>
        <w:t>永贺高速贺州支线（贺州北过境线）、永州经贺州至韶关高速、连山至贺州高速</w:t>
      </w:r>
      <w:r>
        <w:rPr>
          <w:rFonts w:hint="eastAsia" w:ascii="仿宋_GB2312" w:hAnsi="仿宋_GB2312" w:cs="仿宋_GB2312"/>
          <w:szCs w:val="30"/>
        </w:rPr>
        <w:t>，形成环绕贺八平钟区域的高速公路环线。中心城区设置7处高速出入口与城市干路相接。对G323、G207、</w:t>
      </w:r>
      <w:r>
        <w:rPr>
          <w:rFonts w:ascii="仿宋_GB2312" w:hAnsi="仿宋_GB2312" w:cs="仿宋_GB2312"/>
          <w:szCs w:val="30"/>
        </w:rPr>
        <w:t>S</w:t>
      </w:r>
      <w:r>
        <w:rPr>
          <w:rFonts w:hint="eastAsia" w:ascii="仿宋_GB2312" w:hAnsi="仿宋_GB2312" w:cs="仿宋_GB2312"/>
          <w:szCs w:val="30"/>
        </w:rPr>
        <w:t>503进行改扩建，加强中心城区与钟山县、南乡镇、黄姚镇等周边城镇的联系。</w:t>
      </w:r>
    </w:p>
    <w:p>
      <w:pPr>
        <w:pStyle w:val="2"/>
        <w:snapToGrid w:val="0"/>
        <w:ind w:firstLine="643"/>
        <w:rPr>
          <w:rFonts w:ascii="仿宋_GB2312" w:hAnsi="仿宋_GB2312" w:cs="仿宋_GB2312"/>
        </w:rPr>
      </w:pPr>
      <w:r>
        <w:rPr>
          <w:rFonts w:hint="eastAsia" w:ascii="仿宋_GB2312" w:hAnsi="仿宋_GB2312" w:cs="仿宋_GB2312"/>
          <w:b/>
          <w:bCs/>
        </w:rPr>
        <w:t>加快航空航运建设。</w:t>
      </w:r>
      <w:r>
        <w:rPr>
          <w:rFonts w:hint="eastAsia" w:ascii="仿宋_GB2312" w:hAnsi="仿宋_GB2312" w:cs="仿宋_GB2312"/>
          <w:szCs w:val="30"/>
        </w:rPr>
        <w:t>规划建设贺州民用机场，位于高</w:t>
      </w:r>
      <w:r>
        <w:rPr>
          <w:rFonts w:hint="eastAsia" w:ascii="仿宋_GB2312" w:hAnsi="仿宋_GB2312" w:cs="仿宋_GB2312"/>
        </w:rPr>
        <w:t>新技术产业片区南部，按飞行区等级4C标准建设。</w:t>
      </w:r>
    </w:p>
    <w:p>
      <w:pPr>
        <w:pStyle w:val="2"/>
        <w:ind w:firstLine="643"/>
        <w:rPr>
          <w:rFonts w:ascii="仿宋_GB2312" w:hAnsi="仿宋_GB2312" w:cs="仿宋_GB2312"/>
          <w:szCs w:val="30"/>
        </w:rPr>
      </w:pPr>
      <w:r>
        <w:rPr>
          <w:rFonts w:hint="eastAsia" w:ascii="仿宋_GB2312" w:hAnsi="仿宋_GB2312" w:cs="仿宋_GB2312"/>
          <w:b/>
          <w:szCs w:val="30"/>
        </w:rPr>
        <w:t>加强交通枢纽建设。</w:t>
      </w:r>
      <w:r>
        <w:rPr>
          <w:rFonts w:hint="eastAsia"/>
        </w:rPr>
        <w:t>建设</w:t>
      </w:r>
      <w:r>
        <w:t>5</w:t>
      </w:r>
      <w:r>
        <w:rPr>
          <w:rFonts w:hint="eastAsia"/>
        </w:rPr>
        <w:t>处客运枢纽，包括贺州火车站客运枢纽、贺州空港综合客运枢纽、贺街南站客运枢纽、贺州东站客运枢纽、江南客运枢纽。建设4处货运枢纽场站，包括贺州站、贺州东（货运站）、钟山站（旺高）、贺州北站。</w:t>
      </w:r>
    </w:p>
    <w:p>
      <w:pPr>
        <w:pStyle w:val="5"/>
        <w:numPr>
          <w:ilvl w:val="0"/>
          <w:numId w:val="5"/>
        </w:numPr>
        <w:spacing w:before="156" w:after="0" w:afterLines="0"/>
        <w:ind w:left="0" w:firstLine="640"/>
        <w:rPr>
          <w:lang w:val="zh-CN"/>
        </w:rPr>
      </w:pPr>
      <w:r>
        <w:rPr>
          <w:rFonts w:hint="eastAsia"/>
          <w:lang w:val="zh-CN"/>
        </w:rPr>
        <w:t>城市道路交通规划</w:t>
      </w:r>
    </w:p>
    <w:p>
      <w:pPr>
        <w:snapToGrid w:val="0"/>
        <w:ind w:firstLine="643"/>
        <w:rPr>
          <w:rFonts w:ascii="仿宋_GB2312" w:hAnsi="仿宋_GB2312" w:cs="仿宋_GB2312"/>
          <w:b/>
          <w:szCs w:val="30"/>
          <w:u w:val="single"/>
        </w:rPr>
      </w:pPr>
      <w:r>
        <w:rPr>
          <w:rFonts w:hint="eastAsia" w:ascii="仿宋_GB2312" w:hAnsi="仿宋_GB2312" w:cs="仿宋_GB2312"/>
          <w:b/>
          <w:szCs w:val="30"/>
        </w:rPr>
        <w:t>规划“一环十联”城市主骨架路网。</w:t>
      </w:r>
      <w:r>
        <w:rPr>
          <w:rFonts w:hint="eastAsia" w:ascii="仿宋_GB2312" w:hAnsi="仿宋_GB2312" w:cs="仿宋_GB2312"/>
          <w:szCs w:val="30"/>
        </w:rPr>
        <w:t>一环由北环路、东环路、南环路、西环路形成的1条城市快速环路。十联即联系中心城区各组团的10条交通性主干路，分别为东融大道、潇贺大道、祥元大道、八达路、光明大道、贺州大道、桂粤湘大道、鞍山东路、腾龙大道、健贺大道。</w:t>
      </w:r>
    </w:p>
    <w:p>
      <w:pPr>
        <w:pStyle w:val="2"/>
        <w:snapToGrid w:val="0"/>
        <w:ind w:firstLine="643"/>
        <w:rPr>
          <w:rFonts w:ascii="仿宋_GB2312" w:hAnsi="仿宋_GB2312" w:cs="仿宋_GB2312"/>
          <w:szCs w:val="30"/>
        </w:rPr>
      </w:pPr>
      <w:r>
        <w:rPr>
          <w:rFonts w:hint="eastAsia" w:ascii="仿宋_GB2312" w:hAnsi="仿宋_GB2312" w:cs="仿宋_GB2312"/>
          <w:b/>
        </w:rPr>
        <w:t>构建四级道路等级体系。</w:t>
      </w:r>
      <w:r>
        <w:rPr>
          <w:rFonts w:hint="eastAsia" w:ascii="仿宋_GB2312" w:hAnsi="仿宋_GB2312" w:cs="仿宋_GB2312"/>
          <w:szCs w:val="30"/>
        </w:rPr>
        <w:t>快速路设计时速60-100千米/小时，道路红线宽度60米，建筑控制线80米。主干路包括Ⅰ级主干路和Ⅱ级主干路，Ⅰ级主干路设计时速60千米/小时，道路红线宽度40—60米。Ⅱ级主干路设计时速40—60千米/小时，道路红线宽度30—40米。次干路设计时速30—40千米/小时，道路红线宽度24—30米。支路设计速度20—30千米/小时，道路红线宽度15—24米。</w:t>
      </w:r>
    </w:p>
    <w:p>
      <w:pPr>
        <w:snapToGrid w:val="0"/>
        <w:ind w:firstLine="643"/>
        <w:rPr>
          <w:rFonts w:ascii="仿宋_GB2312" w:hAnsi="仿宋_GB2312" w:cs="仿宋_GB2312"/>
          <w:szCs w:val="30"/>
        </w:rPr>
      </w:pPr>
      <w:r>
        <w:rPr>
          <w:rFonts w:hint="eastAsia" w:ascii="仿宋_GB2312" w:hAnsi="仿宋_GB2312" w:cs="仿宋_GB2312"/>
          <w:b/>
          <w:szCs w:val="30"/>
        </w:rPr>
        <w:t>分区提升路网密度</w:t>
      </w:r>
      <w:r>
        <w:rPr>
          <w:rFonts w:hint="eastAsia" w:ascii="仿宋_GB2312" w:hAnsi="仿宋_GB2312" w:cs="仿宋_GB2312"/>
          <w:b/>
          <w:bCs/>
          <w:szCs w:val="30"/>
        </w:rPr>
        <w:t>。</w:t>
      </w:r>
      <w:r>
        <w:rPr>
          <w:rFonts w:hint="eastAsia" w:ascii="仿宋_GB2312" w:hAnsi="仿宋_GB2312" w:cs="仿宋_GB2312"/>
          <w:szCs w:val="30"/>
        </w:rPr>
        <w:t>完善城市快速路和主干路网系统，根据城市各分区主导功能和人口密度，推进各区域的路网的建设，全面优化城市次支路网布局，打通断头路，提高建成区道路网密度。到2035年，城市路网密度不低于8千米/平方千米。</w:t>
      </w:r>
    </w:p>
    <w:p>
      <w:pPr>
        <w:pStyle w:val="5"/>
        <w:numPr>
          <w:ilvl w:val="0"/>
          <w:numId w:val="5"/>
        </w:numPr>
        <w:spacing w:before="156" w:after="0" w:afterLines="0"/>
        <w:ind w:left="0" w:firstLine="640"/>
        <w:rPr>
          <w:lang w:val="zh-CN"/>
        </w:rPr>
      </w:pPr>
      <w:r>
        <w:rPr>
          <w:rFonts w:hint="eastAsia"/>
          <w:lang w:val="zh-CN"/>
        </w:rPr>
        <w:t>城市公共交通规划</w:t>
      </w:r>
    </w:p>
    <w:p>
      <w:pPr>
        <w:snapToGrid w:val="0"/>
        <w:ind w:firstLine="643"/>
        <w:rPr>
          <w:rFonts w:ascii="仿宋_GB2312" w:hAnsi="仿宋_GB2312" w:cs="仿宋_GB2312"/>
          <w:szCs w:val="30"/>
        </w:rPr>
      </w:pPr>
      <w:r>
        <w:rPr>
          <w:rFonts w:hint="eastAsia" w:ascii="仿宋_GB2312" w:hAnsi="仿宋_GB2312" w:cs="仿宋_GB2312"/>
          <w:b/>
          <w:szCs w:val="30"/>
        </w:rPr>
        <w:t>完善公交服务体系。</w:t>
      </w:r>
      <w:r>
        <w:rPr>
          <w:rFonts w:hint="eastAsia" w:ascii="仿宋_GB2312" w:hAnsi="仿宋_GB2312" w:cs="仿宋_GB2312"/>
          <w:szCs w:val="30"/>
        </w:rPr>
        <w:t>构建以快速公交为骨干，常规公交为主体，城乡线为辅助，出租汽车为补充的城市公共交通系统，形成以绿色出行为主体的城市出行服务体系，城市绿色出行比例不低于</w:t>
      </w:r>
      <w:r>
        <w:rPr>
          <w:rFonts w:ascii="仿宋_GB2312" w:hAnsi="仿宋_GB2312" w:cs="仿宋_GB2312"/>
          <w:szCs w:val="30"/>
        </w:rPr>
        <w:t>70</w:t>
      </w:r>
      <w:r>
        <w:rPr>
          <w:rFonts w:hint="eastAsia" w:ascii="仿宋_GB2312" w:hAnsi="仿宋_GB2312" w:cs="仿宋_GB2312"/>
          <w:szCs w:val="30"/>
        </w:rPr>
        <w:t>%。近期以常规公交+城乡线为骨架，远期形成以中运量快速公交+常规公交的分级公交体系。</w:t>
      </w:r>
    </w:p>
    <w:p>
      <w:pPr>
        <w:snapToGrid w:val="0"/>
        <w:ind w:firstLine="643"/>
        <w:rPr>
          <w:rFonts w:eastAsia="仿宋"/>
          <w:b/>
          <w:szCs w:val="30"/>
        </w:rPr>
      </w:pPr>
      <w:r>
        <w:rPr>
          <w:rFonts w:hint="eastAsia" w:ascii="仿宋_GB2312" w:hAnsi="仿宋_GB2312" w:cs="仿宋_GB2312"/>
          <w:b/>
          <w:bCs/>
          <w:szCs w:val="30"/>
        </w:rPr>
        <w:t>规划2条城市中运量公共交通线。</w:t>
      </w:r>
      <w:r>
        <w:rPr>
          <w:rFonts w:hint="eastAsia" w:ascii="仿宋_GB2312" w:hAnsi="仿宋_GB2312" w:cs="仿宋_GB2312"/>
          <w:szCs w:val="30"/>
        </w:rPr>
        <w:t>公共交通线途经潇贺大道、建设路、鞍山东路、东融大道、光明大道。</w:t>
      </w:r>
    </w:p>
    <w:p>
      <w:pPr>
        <w:pStyle w:val="5"/>
        <w:numPr>
          <w:ilvl w:val="0"/>
          <w:numId w:val="5"/>
        </w:numPr>
        <w:spacing w:before="156" w:after="0" w:afterLines="0"/>
        <w:ind w:left="0" w:firstLine="640"/>
        <w:rPr>
          <w:lang w:val="zh-CN"/>
        </w:rPr>
      </w:pPr>
      <w:r>
        <w:rPr>
          <w:rFonts w:hint="eastAsia"/>
          <w:lang w:val="zh-CN"/>
        </w:rPr>
        <w:t>城市交通设施规划</w:t>
      </w:r>
    </w:p>
    <w:p>
      <w:pPr>
        <w:widowControl/>
        <w:spacing w:after="156" w:afterLines="50"/>
        <w:ind w:firstLine="643"/>
        <w:jc w:val="left"/>
        <w:rPr>
          <w:rFonts w:ascii="仿宋_GB2312" w:hAnsi="仿宋_GB2312" w:cs="仿宋_GB2312"/>
          <w:szCs w:val="30"/>
        </w:rPr>
      </w:pPr>
      <w:r>
        <w:rPr>
          <w:rFonts w:hint="eastAsia" w:ascii="仿宋_GB2312" w:hAnsi="仿宋_GB2312" w:cs="仿宋_GB2312"/>
          <w:b/>
          <w:szCs w:val="30"/>
        </w:rPr>
        <w:t>优化停车设施布置。</w:t>
      </w:r>
      <w:r>
        <w:rPr>
          <w:rFonts w:hint="eastAsia" w:ascii="仿宋_GB2312" w:hAnsi="仿宋_GB2312" w:cs="仿宋_GB2312"/>
          <w:szCs w:val="30"/>
        </w:rPr>
        <w:t>规划将中心城区分为严格控制区、平衡供应区、协调发展区和历史文化街区四个</w:t>
      </w:r>
      <w:r>
        <w:rPr>
          <w:rFonts w:hint="eastAsia" w:ascii="仿宋_GB2312" w:hAnsi="仿宋_GB2312" w:cs="仿宋_GB2312"/>
          <w:kern w:val="0"/>
          <w:szCs w:val="30"/>
          <w:lang w:bidi="ar"/>
        </w:rPr>
        <w:t>不同类别管控区分区管控，各区</w:t>
      </w:r>
      <w:r>
        <w:rPr>
          <w:rFonts w:hint="eastAsia" w:ascii="仿宋_GB2312" w:hAnsi="仿宋_GB2312" w:cs="仿宋_GB2312"/>
          <w:szCs w:val="30"/>
        </w:rPr>
        <w:t>以配建停车为主导，以公共停车和路内停车为补充。规划公共停车场用地规模宜按人均0.5平方米至1平方米进行控制，各片区应根据人口规模确定片区公共停车场用地规模。公共停车场的布局应充分考虑周边地块用地性质、道路交通状况和停车设施供需关系，优先设置在商业中心及大型公共建筑附近，遵循规模适宜、分散布局、服务距离合理的原则。</w:t>
      </w:r>
    </w:p>
    <w:p>
      <w:pPr>
        <w:widowControl/>
        <w:ind w:firstLine="643"/>
        <w:jc w:val="left"/>
        <w:rPr>
          <w:rFonts w:ascii="仿宋_GB2312" w:hAnsi="仿宋_GB2312" w:cs="仿宋_GB2312"/>
          <w:szCs w:val="30"/>
        </w:rPr>
      </w:pPr>
      <w:r>
        <w:rPr>
          <w:rFonts w:hint="eastAsia" w:ascii="仿宋_GB2312" w:hAnsi="仿宋_GB2312" w:cs="仿宋_GB2312"/>
          <w:b/>
          <w:bCs/>
          <w:szCs w:val="30"/>
        </w:rPr>
        <w:t>明确新能源汽车充电要求。</w:t>
      </w:r>
      <w:r>
        <w:rPr>
          <w:rFonts w:hint="eastAsia" w:ascii="仿宋_GB2312" w:hAnsi="仿宋_GB2312" w:cs="仿宋_GB2312"/>
          <w:szCs w:val="30"/>
        </w:rPr>
        <w:t>规划完善独立占地的充电基础设施布局，明确各类用地配建充电设施的建设比例或预留建设安装条件要求。规划形成以公共充电设施为主体，以专用充电设施、小区充电设施为辅助，以独立占地的城市快充站和换电站为补充的充电基础设施体系。</w:t>
      </w:r>
    </w:p>
    <w:p>
      <w:pPr>
        <w:widowControl/>
        <w:ind w:firstLine="643"/>
        <w:jc w:val="left"/>
        <w:rPr>
          <w:rFonts w:ascii="仿宋_GB2312" w:hAnsi="仿宋_GB2312" w:cs="仿宋_GB2312"/>
          <w:szCs w:val="30"/>
        </w:rPr>
      </w:pPr>
      <w:r>
        <w:rPr>
          <w:rFonts w:hint="eastAsia" w:ascii="仿宋_GB2312" w:hAnsi="仿宋_GB2312" w:cs="仿宋_GB2312"/>
          <w:b/>
          <w:bCs/>
          <w:szCs w:val="30"/>
        </w:rPr>
        <w:t>建设步行友好城市。</w:t>
      </w:r>
      <w:r>
        <w:rPr>
          <w:rFonts w:hint="eastAsia" w:ascii="仿宋_GB2312" w:hAnsi="仿宋_GB2312" w:cs="仿宋_GB2312"/>
          <w:szCs w:val="30"/>
        </w:rPr>
        <w:t>结合公共交通枢纽站点和公共活动中心，设立步行通道、非机动车停车泊位，形成自行车与公共交通枢纽换乘</w:t>
      </w:r>
      <w:r>
        <w:rPr>
          <w:rFonts w:hint="eastAsia"/>
          <w:szCs w:val="30"/>
        </w:rPr>
        <w:t>“B+R”</w:t>
      </w:r>
      <w:r>
        <w:rPr>
          <w:rFonts w:hint="eastAsia" w:ascii="仿宋_GB2312" w:hAnsi="仿宋_GB2312" w:cs="仿宋_GB2312"/>
          <w:szCs w:val="30"/>
        </w:rPr>
        <w:t>立体慢行换乘系统。结合滨江等公共开敞空间，设置独立慢行通道。完善街道步行设施，提升环境，提高步行的安全性、目的性、趣味性。</w:t>
      </w:r>
    </w:p>
    <w:p>
      <w:pPr>
        <w:pStyle w:val="4"/>
        <w:numPr>
          <w:ilvl w:val="0"/>
          <w:numId w:val="11"/>
        </w:numPr>
        <w:tabs>
          <w:tab w:val="left" w:pos="360"/>
        </w:tabs>
        <w:spacing w:before="156" w:beforeLines="50" w:after="156" w:afterLines="50" w:line="460" w:lineRule="exact"/>
        <w:rPr>
          <w:rFonts w:ascii="Times New Roman" w:hAnsi="Times New Roman"/>
        </w:rPr>
      </w:pPr>
      <w:bookmarkStart w:id="312" w:name="_Toc213018266"/>
      <w:bookmarkStart w:id="313" w:name="_Toc22772"/>
      <w:bookmarkStart w:id="314" w:name="_Toc6972"/>
      <w:bookmarkStart w:id="315" w:name="_Toc17754"/>
      <w:bookmarkStart w:id="316" w:name="_Toc26364"/>
      <w:bookmarkStart w:id="317" w:name="_Toc27584"/>
      <w:bookmarkStart w:id="318" w:name="_Toc14431_WPSOffice_Level2"/>
      <w:bookmarkStart w:id="319" w:name="_Toc8841"/>
      <w:bookmarkStart w:id="320" w:name="_Toc29960"/>
      <w:bookmarkStart w:id="321" w:name="_Toc9159"/>
      <w:bookmarkStart w:id="322" w:name="_Toc15442"/>
      <w:bookmarkStart w:id="323" w:name="_Toc13076"/>
      <w:r>
        <w:rPr>
          <w:rFonts w:hint="eastAsia" w:ascii="Times New Roman" w:hAnsi="Times New Roman"/>
        </w:rPr>
        <w:t>历史文化保护</w:t>
      </w:r>
      <w:bookmarkEnd w:id="312"/>
    </w:p>
    <w:p>
      <w:pPr>
        <w:pStyle w:val="5"/>
        <w:numPr>
          <w:ilvl w:val="0"/>
          <w:numId w:val="5"/>
        </w:numPr>
        <w:spacing w:before="156" w:after="0" w:afterLines="0"/>
        <w:ind w:left="0" w:firstLine="640"/>
        <w:rPr>
          <w:lang w:val="zh-CN"/>
        </w:rPr>
      </w:pPr>
      <w:r>
        <w:rPr>
          <w:rFonts w:hint="eastAsia"/>
          <w:lang w:val="zh-CN"/>
        </w:rPr>
        <w:t>文物古迹保护</w:t>
      </w:r>
    </w:p>
    <w:p>
      <w:pPr>
        <w:ind w:firstLine="600" w:firstLineChars="0"/>
      </w:pPr>
      <w:r>
        <w:rPr>
          <w:rFonts w:hint="eastAsia"/>
          <w:b/>
          <w:bCs/>
          <w:szCs w:val="30"/>
          <w:u w:val="single"/>
        </w:rPr>
        <w:t>保护中心城区</w:t>
      </w:r>
      <w:r>
        <w:rPr>
          <w:rFonts w:hint="eastAsia"/>
          <w:szCs w:val="30"/>
          <w:u w:val="single"/>
        </w:rPr>
        <w:t>31</w:t>
      </w:r>
      <w:r>
        <w:rPr>
          <w:rFonts w:hint="eastAsia"/>
          <w:b/>
          <w:bCs/>
          <w:szCs w:val="30"/>
          <w:u w:val="single"/>
        </w:rPr>
        <w:t>处各级文物保护单位和</w:t>
      </w:r>
      <w:r>
        <w:rPr>
          <w:rFonts w:hint="eastAsia"/>
          <w:szCs w:val="30"/>
          <w:u w:val="single"/>
        </w:rPr>
        <w:t>51</w:t>
      </w:r>
      <w:r>
        <w:rPr>
          <w:rFonts w:hint="eastAsia"/>
          <w:b/>
          <w:bCs/>
          <w:szCs w:val="30"/>
          <w:u w:val="single"/>
        </w:rPr>
        <w:t>处历史建筑。</w:t>
      </w:r>
      <w:r>
        <w:t>重点做好临贺故城、江氏客家围屋等全国重点文物保护单位保护工作，保护</w:t>
      </w:r>
      <w:r>
        <w:rPr>
          <w:rFonts w:hint="eastAsia"/>
        </w:rPr>
        <w:t>贺街</w:t>
      </w:r>
      <w:r>
        <w:t>古城墙原有风貌。</w:t>
      </w:r>
      <w:r>
        <w:rPr>
          <w:rFonts w:hint="eastAsia"/>
        </w:rPr>
        <w:t>公布各级文物保护单位名单，根据文物资源的布局和特色，在原址所在地进行保护和利用。划定和完善各级文物保护单位保护范围和建设控制地带，逐步整治、改建或拆除建设控制地带内不符合保护控制要求的建筑物和构筑物。加强尚未核定为文物保护单位的各类文物的普查与管理。</w:t>
      </w:r>
    </w:p>
    <w:p>
      <w:pPr>
        <w:pStyle w:val="5"/>
        <w:numPr>
          <w:ilvl w:val="0"/>
          <w:numId w:val="5"/>
        </w:numPr>
        <w:spacing w:before="156" w:after="0" w:afterLines="0"/>
        <w:ind w:left="0" w:firstLine="640"/>
        <w:rPr>
          <w:lang w:val="zh-CN"/>
        </w:rPr>
      </w:pPr>
      <w:r>
        <w:rPr>
          <w:rFonts w:hint="eastAsia"/>
          <w:lang w:val="zh-CN"/>
        </w:rPr>
        <w:t>城市紫线</w:t>
      </w:r>
    </w:p>
    <w:p>
      <w:pPr>
        <w:snapToGrid w:val="0"/>
        <w:ind w:firstLine="600" w:firstLineChars="0"/>
        <w:rPr>
          <w:rFonts w:eastAsia="仿宋"/>
          <w:b/>
          <w:szCs w:val="30"/>
        </w:rPr>
      </w:pPr>
      <w:r>
        <w:rPr>
          <w:b/>
          <w:bCs/>
          <w:szCs w:val="30"/>
        </w:rPr>
        <w:t>严格保护传统历史文化空间，</w:t>
      </w:r>
      <w:r>
        <w:rPr>
          <w:rFonts w:hint="eastAsia"/>
          <w:b/>
          <w:bCs/>
          <w:szCs w:val="30"/>
          <w:u w:val="single"/>
        </w:rPr>
        <w:t>将中心城区</w:t>
      </w:r>
      <w:r>
        <w:rPr>
          <w:b/>
          <w:bCs/>
          <w:szCs w:val="30"/>
          <w:u w:val="single"/>
        </w:rPr>
        <w:t>历史文化街区和历史建筑的保护和控制范围</w:t>
      </w:r>
      <w:r>
        <w:rPr>
          <w:rFonts w:hint="eastAsia"/>
          <w:b/>
          <w:bCs/>
          <w:szCs w:val="30"/>
          <w:u w:val="single"/>
        </w:rPr>
        <w:t>划定为城市紫线</w:t>
      </w:r>
      <w:r>
        <w:rPr>
          <w:b/>
          <w:bCs/>
          <w:szCs w:val="30"/>
          <w:u w:val="single"/>
        </w:rPr>
        <w:t>。</w:t>
      </w:r>
      <w:r>
        <w:rPr>
          <w:szCs w:val="30"/>
        </w:rPr>
        <w:t>各层次规划及项目审批应严格遵守城市紫线管理要求。</w:t>
      </w:r>
    </w:p>
    <w:p>
      <w:pPr>
        <w:snapToGrid w:val="0"/>
        <w:ind w:firstLine="600" w:firstLineChars="0"/>
      </w:pPr>
      <w:r>
        <w:rPr>
          <w:rFonts w:hint="eastAsia"/>
          <w:b/>
          <w:szCs w:val="30"/>
        </w:rPr>
        <w:t>严格进行</w:t>
      </w:r>
      <w:r>
        <w:rPr>
          <w:b/>
          <w:szCs w:val="30"/>
        </w:rPr>
        <w:t>城市紫线</w:t>
      </w:r>
      <w:r>
        <w:rPr>
          <w:rFonts w:hint="eastAsia"/>
          <w:b/>
          <w:szCs w:val="30"/>
        </w:rPr>
        <w:t>管控。紫线范围内，</w:t>
      </w:r>
      <w:r>
        <w:rPr>
          <w:b/>
          <w:szCs w:val="30"/>
          <w:u w:val="single"/>
        </w:rPr>
        <w:t>文物保护单位按</w:t>
      </w:r>
      <w:r>
        <w:rPr>
          <w:rFonts w:hint="eastAsia"/>
          <w:b/>
          <w:szCs w:val="30"/>
          <w:u w:val="single"/>
        </w:rPr>
        <w:t>文物保护的法律法规</w:t>
      </w:r>
      <w:r>
        <w:rPr>
          <w:b/>
          <w:szCs w:val="30"/>
          <w:u w:val="single"/>
        </w:rPr>
        <w:t>进行保护。其他各种活动管理按城市紫线管理的有关规定进行</w:t>
      </w:r>
      <w:r>
        <w:rPr>
          <w:rFonts w:hint="eastAsia"/>
          <w:b/>
          <w:szCs w:val="30"/>
          <w:u w:val="single"/>
        </w:rPr>
        <w:t>管控</w:t>
      </w:r>
      <w:r>
        <w:rPr>
          <w:b/>
          <w:szCs w:val="30"/>
          <w:u w:val="single"/>
        </w:rPr>
        <w:t>。</w:t>
      </w:r>
      <w:r>
        <w:rPr>
          <w:bCs/>
          <w:szCs w:val="30"/>
        </w:rPr>
        <w:t>历史文化街区的建筑红线、总高度、层数、临街立面、体型等必须</w:t>
      </w:r>
      <w:r>
        <w:rPr>
          <w:rFonts w:hint="eastAsia"/>
          <w:bCs/>
          <w:szCs w:val="30"/>
        </w:rPr>
        <w:t>按照</w:t>
      </w:r>
      <w:r>
        <w:rPr>
          <w:bCs/>
          <w:szCs w:val="30"/>
        </w:rPr>
        <w:t>相关规划的指导严格</w:t>
      </w:r>
      <w:r>
        <w:rPr>
          <w:rFonts w:hint="eastAsia"/>
          <w:bCs/>
          <w:szCs w:val="30"/>
        </w:rPr>
        <w:t>管控</w:t>
      </w:r>
      <w:r>
        <w:rPr>
          <w:bCs/>
          <w:szCs w:val="30"/>
        </w:rPr>
        <w:t>。在不影响整体传统风貌的前提下，允许对房屋内部设施进行现代化更新改造，协调好历史</w:t>
      </w:r>
      <w:r>
        <w:rPr>
          <w:rFonts w:hint="eastAsia"/>
          <w:bCs/>
          <w:szCs w:val="30"/>
        </w:rPr>
        <w:t>文化</w:t>
      </w:r>
      <w:r>
        <w:rPr>
          <w:bCs/>
          <w:szCs w:val="30"/>
        </w:rPr>
        <w:t>与现代生活之间的关系，促进历史街区的良性发展。</w:t>
      </w:r>
    </w:p>
    <w:p>
      <w:pPr>
        <w:pStyle w:val="4"/>
        <w:numPr>
          <w:ilvl w:val="0"/>
          <w:numId w:val="11"/>
        </w:numPr>
        <w:tabs>
          <w:tab w:val="left" w:pos="360"/>
        </w:tabs>
        <w:spacing w:line="460" w:lineRule="exact"/>
        <w:ind w:left="0" w:firstLine="0"/>
        <w:rPr>
          <w:rFonts w:ascii="Times New Roman" w:hAnsi="Times New Roman"/>
        </w:rPr>
      </w:pPr>
      <w:bookmarkStart w:id="324" w:name="_Toc213018267"/>
      <w:r>
        <w:rPr>
          <w:rFonts w:hint="eastAsia" w:ascii="Times New Roman" w:hAnsi="Times New Roman"/>
        </w:rPr>
        <w:t>市政基础设施</w:t>
      </w:r>
      <w:bookmarkEnd w:id="313"/>
      <w:bookmarkEnd w:id="314"/>
      <w:bookmarkEnd w:id="315"/>
      <w:bookmarkEnd w:id="316"/>
      <w:bookmarkEnd w:id="317"/>
      <w:bookmarkEnd w:id="318"/>
      <w:bookmarkEnd w:id="319"/>
      <w:bookmarkEnd w:id="320"/>
      <w:bookmarkEnd w:id="321"/>
      <w:bookmarkEnd w:id="322"/>
      <w:bookmarkEnd w:id="323"/>
      <w:bookmarkEnd w:id="324"/>
    </w:p>
    <w:p>
      <w:pPr>
        <w:pStyle w:val="5"/>
        <w:numPr>
          <w:ilvl w:val="0"/>
          <w:numId w:val="5"/>
        </w:numPr>
        <w:spacing w:before="156" w:after="0" w:afterLines="0"/>
        <w:ind w:left="0" w:firstLine="640"/>
        <w:rPr>
          <w:lang w:val="zh-CN"/>
        </w:rPr>
      </w:pPr>
      <w:r>
        <w:rPr>
          <w:rFonts w:hint="eastAsia"/>
          <w:lang w:val="zh-CN"/>
        </w:rPr>
        <w:t>给水工程规划</w:t>
      </w:r>
    </w:p>
    <w:p>
      <w:pPr>
        <w:spacing w:after="156" w:afterLines="50"/>
        <w:ind w:firstLine="640"/>
        <w:rPr>
          <w:rFonts w:ascii="仿宋_GB2312" w:hAnsi="仿宋_GB2312" w:cs="仿宋_GB2312"/>
        </w:rPr>
      </w:pPr>
      <w:r>
        <w:rPr>
          <w:rFonts w:hint="eastAsia" w:ascii="仿宋_GB2312" w:hAnsi="仿宋_GB2312" w:cs="仿宋_GB2312"/>
        </w:rPr>
        <w:t>规划生活用水水源为龟石水库、大湾水库，工业用水水源为贺江。为确保用水的安全性，采取多水源联合供水的方式，保证中心城区有两个以上的供给水源。</w:t>
      </w:r>
    </w:p>
    <w:p>
      <w:pPr>
        <w:pStyle w:val="5"/>
        <w:numPr>
          <w:ilvl w:val="0"/>
          <w:numId w:val="5"/>
        </w:numPr>
        <w:spacing w:before="156" w:after="0" w:afterLines="0"/>
        <w:ind w:left="0" w:firstLine="640"/>
        <w:rPr>
          <w:lang w:val="zh-CN"/>
        </w:rPr>
      </w:pPr>
      <w:r>
        <w:rPr>
          <w:rFonts w:hint="eastAsia"/>
          <w:lang w:val="zh-CN"/>
        </w:rPr>
        <w:t>污水工程规划</w:t>
      </w:r>
    </w:p>
    <w:p>
      <w:pPr>
        <w:ind w:firstLine="640"/>
        <w:rPr>
          <w:rFonts w:ascii="仿宋_GB2312" w:hAnsi="仿宋_GB2312" w:cs="仿宋_GB2312"/>
        </w:rPr>
      </w:pPr>
      <w:r>
        <w:rPr>
          <w:rFonts w:hint="eastAsia" w:ascii="仿宋_GB2312" w:hAnsi="仿宋_GB2312" w:cs="仿宋_GB2312"/>
        </w:rPr>
        <w:t>规划中心城区排水体制采用分流制。老城区继续推进雨污水管网建设，逐步实现雨污分流；新建城区、工业区一律采用分流制进行建设。中心城区划分为8个污水汇流分区，规划8座污水处理厂。各污水分区根据地形沿城市干道敷设污水干管，将污水收集后送至相应的污水处理厂处理。贺州市污水处理厂尾水水质应达到一级A标准。在地形不利于重力流污水排水，管道埋深超过7米时，应设置污水提升泵站。</w:t>
      </w:r>
    </w:p>
    <w:p>
      <w:pPr>
        <w:pStyle w:val="5"/>
        <w:numPr>
          <w:ilvl w:val="0"/>
          <w:numId w:val="5"/>
        </w:numPr>
        <w:spacing w:before="156" w:after="0" w:afterLines="0"/>
        <w:ind w:left="0" w:firstLine="640"/>
        <w:rPr>
          <w:lang w:val="zh-CN"/>
        </w:rPr>
      </w:pPr>
      <w:r>
        <w:rPr>
          <w:rFonts w:hint="eastAsia"/>
          <w:lang w:val="zh-CN"/>
        </w:rPr>
        <w:t>雨水工程规划</w:t>
      </w:r>
    </w:p>
    <w:p>
      <w:pPr>
        <w:ind w:firstLine="640"/>
        <w:rPr>
          <w:rFonts w:ascii="仿宋_GB2312" w:hAnsi="仿宋_GB2312" w:cs="仿宋_GB2312"/>
        </w:rPr>
      </w:pPr>
      <w:r>
        <w:rPr>
          <w:rFonts w:hint="eastAsia" w:ascii="仿宋_GB2312" w:hAnsi="仿宋_GB2312" w:cs="仿宋_GB2312"/>
        </w:rPr>
        <w:t>雨水排放系统根据各区地形，采用分散就近排放的原则。在旧城区近期利用原有管渠排除雨水，远期结合规划路网，并利用现状排水溪渠、防洪沟合理布置雨水管网，就近排除雨水；新城区采用分区排水，分散布置出水口等形式，结合规划路网，充分利用地形和现状溪渠、地下河排除雨水。</w:t>
      </w:r>
    </w:p>
    <w:p>
      <w:pPr>
        <w:pStyle w:val="5"/>
        <w:numPr>
          <w:ilvl w:val="0"/>
          <w:numId w:val="5"/>
        </w:numPr>
        <w:spacing w:before="156" w:after="0" w:afterLines="0"/>
        <w:ind w:left="0" w:firstLine="640"/>
        <w:rPr>
          <w:lang w:val="zh-CN"/>
        </w:rPr>
      </w:pPr>
      <w:r>
        <w:rPr>
          <w:rFonts w:hint="eastAsia"/>
          <w:lang w:val="zh-CN"/>
        </w:rPr>
        <w:t>电力工程规划</w:t>
      </w:r>
    </w:p>
    <w:p>
      <w:pPr>
        <w:ind w:firstLine="640"/>
      </w:pPr>
      <w:r>
        <w:rPr>
          <w:rFonts w:hint="eastAsia" w:ascii="仿宋_GB2312" w:hAnsi="仿宋_GB2312" w:cs="仿宋_GB2312"/>
        </w:rPr>
        <w:t>规划保留现状高压变电站，并增设220千伏和110千伏变电站。根据用电负荷预测以及城市的发展方向和目标，为满足负荷需求，需对现状2座220千伏变电站扩容，并新建5座220千伏变电站（其中1座由110千伏变电站升级）；新建14座110千伏变电站（其中2座由35千伏变电站升级）。到2035年，中心城区500千伏变电站共1座，220千伏变电站共8座，110千伏变电站共26座。</w:t>
      </w:r>
    </w:p>
    <w:p>
      <w:pPr>
        <w:pStyle w:val="2"/>
        <w:ind w:firstLine="640"/>
        <w:rPr>
          <w:rFonts w:ascii="仿宋_GB2312" w:hAnsi="仿宋_GB2312" w:cs="仿宋_GB2312"/>
        </w:rPr>
      </w:pPr>
      <w:r>
        <w:rPr>
          <w:rFonts w:hint="eastAsia" w:ascii="仿宋_GB2312" w:hAnsi="仿宋_GB2312" w:cs="仿宋_GB2312"/>
        </w:rPr>
        <w:t>中心城区内应预留高压走廊，且高压走廊应避免穿越自然保护地、文物保护区、饮用水源保护区等环境敏感区。根据架空线路不同电压等级、塔型计算，中心城区内高压线走廊档距按120米考虑。线路尽可能沿（规划）道路架设，应充分利用城市道路绿化带和隔离带。考虑导线在最大风偏情况下对建筑物的安全距离。规划高压架空线走廊宽度：500千伏走廊宽度60—75米，220千伏走廊宽度30—40米，110千伏走廊宽度15—30米。通道的中心架设铁塔或杆，杆塔基础地下不能有其他地下管道。</w:t>
      </w:r>
    </w:p>
    <w:p>
      <w:pPr>
        <w:pStyle w:val="5"/>
        <w:numPr>
          <w:ilvl w:val="0"/>
          <w:numId w:val="5"/>
        </w:numPr>
        <w:spacing w:before="156" w:after="0" w:afterLines="0"/>
        <w:ind w:left="0" w:firstLine="640"/>
        <w:rPr>
          <w:lang w:val="zh-CN"/>
        </w:rPr>
      </w:pPr>
      <w:r>
        <w:rPr>
          <w:rFonts w:hint="eastAsia"/>
          <w:lang w:val="zh-CN"/>
        </w:rPr>
        <w:t>通信工程规划</w:t>
      </w:r>
    </w:p>
    <w:p>
      <w:pPr>
        <w:ind w:firstLine="643"/>
        <w:rPr>
          <w:rFonts w:ascii="仿宋_GB2312" w:hAnsi="仿宋_GB2312" w:cs="仿宋_GB2312"/>
        </w:rPr>
      </w:pPr>
      <w:r>
        <w:rPr>
          <w:rFonts w:hint="eastAsia" w:ascii="仿宋_GB2312" w:hAnsi="仿宋_GB2312" w:cs="仿宋_GB2312"/>
          <w:b/>
          <w:u w:val="single"/>
        </w:rPr>
        <w:t>中心城区规划电信局共9处，其中6处为新建；1处互联网数据中心；邮政支局共10处，其中新建邮政支局（兼具邮件处理中心）8处；规划贺州运维监控中心1处，贺州中波台1处。</w:t>
      </w:r>
    </w:p>
    <w:p>
      <w:pPr>
        <w:pStyle w:val="5"/>
        <w:numPr>
          <w:ilvl w:val="0"/>
          <w:numId w:val="5"/>
        </w:numPr>
        <w:spacing w:before="156" w:after="0" w:afterLines="0"/>
        <w:ind w:left="0" w:firstLine="640"/>
        <w:rPr>
          <w:lang w:val="zh-CN"/>
        </w:rPr>
      </w:pPr>
      <w:r>
        <w:rPr>
          <w:rFonts w:hint="eastAsia"/>
          <w:lang w:val="zh-CN"/>
        </w:rPr>
        <w:t>燃气工程规划</w:t>
      </w:r>
    </w:p>
    <w:p>
      <w:pPr>
        <w:ind w:firstLine="640"/>
        <w:rPr>
          <w:rFonts w:ascii="仿宋_GB2312" w:hAnsi="仿宋_GB2312" w:cs="仿宋_GB2312"/>
        </w:rPr>
      </w:pPr>
      <w:r>
        <w:rPr>
          <w:rFonts w:hint="eastAsia" w:ascii="仿宋_GB2312" w:hAnsi="仿宋_GB2312" w:cs="仿宋_GB2312"/>
        </w:rPr>
        <w:t>规划燃气气源以管道天然气为主、LNG（液化天然气）作为应急气源，LPG（液化石油气）作为辅助气源，管道天然气气源为西气东输二线管道的天然气。</w:t>
      </w:r>
    </w:p>
    <w:p>
      <w:pPr>
        <w:ind w:firstLine="643"/>
        <w:rPr>
          <w:rFonts w:ascii="仿宋_GB2312" w:hAnsi="仿宋_GB2312" w:cs="仿宋_GB2312"/>
          <w:b/>
          <w:u w:val="single"/>
        </w:rPr>
      </w:pPr>
      <w:r>
        <w:rPr>
          <w:rFonts w:hint="eastAsia" w:ascii="仿宋_GB2312" w:hAnsi="仿宋_GB2312" w:cs="仿宋_GB2312"/>
          <w:b/>
          <w:u w:val="single"/>
        </w:rPr>
        <w:t>中心城区共规划1座贺州输气站、1座阀室、1座分输站、2座门站、4座调压站、2座LNG气化站、6座LPG储配站。其中在广贺高速公路出口沙田河旁保留现状1座贺州输气站，连接西气东输二线的苍梧—贺州支线，同时新建1座贺州2#门站。保留现状8#阀室。保留现状东融新城片区LNG气化站，规划新建高新技术产业片区1#调压站、园博园片区2#调压站、东融新城片区3#调压站，碳酸钙产业（西湾）片区合并建设贺州分输站、贺州市天然气门站、LNG气化站，旺高产业片区建设旺高东调压站。</w:t>
      </w:r>
    </w:p>
    <w:p>
      <w:pPr>
        <w:pStyle w:val="5"/>
        <w:numPr>
          <w:ilvl w:val="0"/>
          <w:numId w:val="5"/>
        </w:numPr>
        <w:spacing w:before="156" w:after="0" w:afterLines="0"/>
        <w:ind w:left="0" w:firstLine="640"/>
        <w:rPr>
          <w:lang w:val="zh-CN"/>
        </w:rPr>
      </w:pPr>
      <w:r>
        <w:rPr>
          <w:rFonts w:hint="eastAsia"/>
          <w:lang w:val="zh-CN"/>
        </w:rPr>
        <w:t>地下综合管廊规划</w:t>
      </w:r>
    </w:p>
    <w:p>
      <w:pPr>
        <w:ind w:firstLine="640"/>
        <w:rPr>
          <w:rFonts w:ascii="仿宋_GB2312" w:hAnsi="仿宋_GB2312" w:cs="仿宋_GB2312"/>
        </w:rPr>
      </w:pPr>
      <w:r>
        <w:rPr>
          <w:rFonts w:hint="eastAsia" w:ascii="仿宋_GB2312" w:hAnsi="仿宋_GB2312" w:cs="仿宋_GB2312"/>
        </w:rPr>
        <w:t>中心城区地下综合管廊布局采用环状和枝状相结合的方式，收纳的管线包括电力管线、供水管线、通信管线、中水管线等，不包括燃气管线、排水管线。地下综合管廊主要结合潇贺大道、东融大道及光明大道等城市主干路建设。</w:t>
      </w:r>
    </w:p>
    <w:p>
      <w:pPr>
        <w:pStyle w:val="5"/>
        <w:numPr>
          <w:ilvl w:val="0"/>
          <w:numId w:val="5"/>
        </w:numPr>
        <w:spacing w:before="156" w:after="0" w:afterLines="0"/>
        <w:ind w:left="0" w:firstLine="640"/>
        <w:rPr>
          <w:lang w:val="zh-CN"/>
        </w:rPr>
      </w:pPr>
      <w:r>
        <w:rPr>
          <w:rFonts w:hint="eastAsia"/>
          <w:lang w:val="zh-CN"/>
        </w:rPr>
        <w:t>环卫工程规划</w:t>
      </w:r>
    </w:p>
    <w:p>
      <w:pPr>
        <w:ind w:firstLine="640"/>
        <w:rPr>
          <w:rFonts w:ascii="仿宋_GB2312" w:hAnsi="仿宋_GB2312" w:cs="仿宋_GB2312"/>
        </w:rPr>
      </w:pPr>
      <w:r>
        <w:rPr>
          <w:rFonts w:hint="eastAsia" w:ascii="仿宋_GB2312" w:hAnsi="仿宋_GB2312" w:cs="仿宋_GB2312"/>
        </w:rPr>
        <w:t>按照减量化、无害化及资源化处理的要求，生活垃圾处理由焚烧发电为主、卫生填埋及其他方式为辅的方式综合处理。</w:t>
      </w:r>
    </w:p>
    <w:p>
      <w:pPr>
        <w:ind w:firstLine="640"/>
        <w:rPr>
          <w:rFonts w:ascii="仿宋_GB2312" w:hAnsi="仿宋_GB2312" w:cs="仿宋_GB2312"/>
        </w:rPr>
      </w:pPr>
      <w:r>
        <w:rPr>
          <w:rFonts w:hint="eastAsia" w:ascii="仿宋_GB2312" w:hAnsi="仿宋_GB2312" w:cs="仿宋_GB2312"/>
        </w:rPr>
        <w:t>完善城东片区贺州市环保循环经济产业园建设，包括生活垃圾填埋场、建筑垃圾处理中心、渗滤液处理站、电子垃圾处理中心、医疗垃圾处理中心、病死畜禽无害化处理厂、污泥处理厂、粪便处理厂、垃圾焚烧发电厂、危废、飞灰填埋场项目。</w:t>
      </w:r>
    </w:p>
    <w:p>
      <w:pPr>
        <w:ind w:firstLine="640"/>
        <w:rPr>
          <w:rFonts w:ascii="仿宋_GB2312" w:hAnsi="仿宋_GB2312" w:cs="仿宋_GB2312"/>
          <w:b/>
          <w:u w:val="single"/>
        </w:rPr>
      </w:pPr>
      <w:r>
        <w:rPr>
          <w:rFonts w:hint="eastAsia" w:ascii="仿宋_GB2312" w:hAnsi="仿宋_GB2312" w:cs="仿宋_GB2312"/>
        </w:rPr>
        <w:t>到2035年，中心城区规划贺州市环保循环经济产业园1处，弃土场10处，</w:t>
      </w:r>
      <w:r>
        <w:rPr>
          <w:rFonts w:hint="eastAsia" w:ascii="仿宋_GB2312" w:hAnsi="仿宋_GB2312" w:cs="仿宋_GB2312"/>
          <w:b/>
          <w:szCs w:val="30"/>
          <w:u w:val="single"/>
        </w:rPr>
        <w:t>固体废物综合化处理中心1处，中型垃圾转运站1座，</w:t>
      </w:r>
      <w:r>
        <w:rPr>
          <w:rFonts w:hint="eastAsia" w:ascii="仿宋_GB2312" w:hAnsi="仿宋_GB2312" w:cs="仿宋_GB2312"/>
          <w:szCs w:val="30"/>
        </w:rPr>
        <w:t>小型垃圾转运站30座。中心城区应按照城市环境卫生设施规划相关规范要求设置公共厕所</w:t>
      </w:r>
      <w:r>
        <w:rPr>
          <w:rFonts w:hint="eastAsia" w:ascii="仿宋_GB2312" w:hAnsi="仿宋_GB2312" w:cs="仿宋_GB2312"/>
          <w:bCs/>
        </w:rPr>
        <w:t>。</w:t>
      </w:r>
    </w:p>
    <w:p>
      <w:pPr>
        <w:pStyle w:val="5"/>
        <w:numPr>
          <w:ilvl w:val="0"/>
          <w:numId w:val="5"/>
        </w:numPr>
        <w:spacing w:before="156" w:after="0" w:afterLines="0"/>
        <w:ind w:left="0" w:firstLine="640"/>
        <w:rPr>
          <w:lang w:val="zh-CN"/>
        </w:rPr>
      </w:pPr>
      <w:r>
        <w:rPr>
          <w:rFonts w:hint="eastAsia"/>
          <w:lang w:val="zh-CN"/>
        </w:rPr>
        <w:t>城市黄线</w:t>
      </w:r>
    </w:p>
    <w:p>
      <w:pPr>
        <w:pStyle w:val="2"/>
        <w:ind w:firstLine="643"/>
        <w:rPr>
          <w:b/>
          <w:u w:val="single"/>
        </w:rPr>
      </w:pPr>
      <w:r>
        <w:rPr>
          <w:rFonts w:hint="eastAsia"/>
          <w:b/>
          <w:u w:val="single"/>
        </w:rPr>
        <w:t>加强城市基础设施用地管理，保障城市基础设施的正常、高效运转、保证城市经济、社会健康发展，划定城市黄线，包括：城市公共汽车首末站、出租汽车停车场、大型公共停车场；城市公共交通站、场、车辆段、保养维修基地；城市水运码头；机场；城市交通综合换乘枢纽；城市交通广场等城市公共交通设施。取水工程设施（取水点、取水构筑物及一级泵站）和水处理工程设施等城市供水设施。排水设施；污水处理设施；垃圾转运站、垃圾码头、垃圾堆肥场、垃圾焚烧厂、卫生填埋场（厂）；环境卫生车辆停车场和修造厂；环境质量监测站等城市环境卫生设施。城市气源和燃气储配站等城市供燃气设施。城市热源、区域性热力站、热力线走廊等城市供热设施。城市发电厂、区域变电所、中心城变电所（站）等城市供电设施。邮政局、邮政通信枢纽、邮政支局；电信局、电信支局；卫星接收站、微波站；广播电台、电视台等城市通信设施。消防指挥调度中心、消防站等城市消防设施。洪涝风险控制线、防洪堤墙、排洪沟与截洪沟、防洪闸等城市防洪设施。避震疏散场地、气象预警中心等城市抗震防灾设施。其他对城市发展全局有影响的城市基础设施。</w:t>
      </w:r>
      <w:r>
        <w:rPr>
          <w:rFonts w:hint="eastAsia" w:ascii="仿宋_GB2312" w:hAnsi="仿宋_GB2312" w:cs="仿宋_GB2312"/>
          <w:szCs w:val="30"/>
        </w:rPr>
        <w:t>各层次规划及项目审批应严格遵守城市黄线管理要求。</w:t>
      </w:r>
    </w:p>
    <w:p>
      <w:pPr>
        <w:pStyle w:val="4"/>
        <w:numPr>
          <w:ilvl w:val="0"/>
          <w:numId w:val="11"/>
        </w:numPr>
        <w:tabs>
          <w:tab w:val="left" w:pos="360"/>
        </w:tabs>
        <w:spacing w:before="312" w:beforeLines="100" w:line="460" w:lineRule="exact"/>
        <w:ind w:left="0" w:firstLine="0"/>
        <w:rPr>
          <w:rFonts w:ascii="Times New Roman" w:hAnsi="Times New Roman"/>
        </w:rPr>
      </w:pPr>
      <w:bookmarkStart w:id="325" w:name="_Toc6850"/>
      <w:bookmarkStart w:id="326" w:name="_Toc7915_WPSOffice_Level2"/>
      <w:bookmarkStart w:id="327" w:name="_Toc10815"/>
      <w:bookmarkStart w:id="328" w:name="_Toc14737"/>
      <w:bookmarkStart w:id="329" w:name="_Toc27002"/>
      <w:bookmarkStart w:id="330" w:name="_Toc21612"/>
      <w:bookmarkStart w:id="331" w:name="_Toc1307"/>
      <w:bookmarkStart w:id="332" w:name="_Toc10196"/>
      <w:bookmarkStart w:id="333" w:name="_Toc4993"/>
      <w:bookmarkStart w:id="334" w:name="_Toc213018268"/>
      <w:bookmarkStart w:id="335" w:name="_Toc32170"/>
      <w:bookmarkStart w:id="336" w:name="_Toc10910"/>
      <w:r>
        <w:rPr>
          <w:rFonts w:hint="eastAsia" w:ascii="Times New Roman" w:hAnsi="Times New Roman"/>
        </w:rPr>
        <w:t>公共安全与综合防灾</w:t>
      </w:r>
      <w:bookmarkEnd w:id="325"/>
      <w:bookmarkEnd w:id="326"/>
      <w:bookmarkEnd w:id="327"/>
      <w:bookmarkEnd w:id="328"/>
      <w:bookmarkEnd w:id="329"/>
      <w:bookmarkEnd w:id="330"/>
      <w:bookmarkEnd w:id="331"/>
      <w:bookmarkEnd w:id="332"/>
      <w:bookmarkEnd w:id="333"/>
      <w:bookmarkEnd w:id="334"/>
      <w:bookmarkEnd w:id="335"/>
      <w:bookmarkEnd w:id="336"/>
    </w:p>
    <w:p>
      <w:pPr>
        <w:pStyle w:val="5"/>
        <w:numPr>
          <w:ilvl w:val="0"/>
          <w:numId w:val="5"/>
        </w:numPr>
        <w:spacing w:before="156" w:after="0" w:afterLines="0"/>
        <w:ind w:left="0" w:firstLine="640"/>
        <w:rPr>
          <w:lang w:val="zh-CN"/>
        </w:rPr>
      </w:pPr>
      <w:r>
        <w:rPr>
          <w:rFonts w:hint="eastAsia"/>
          <w:lang w:val="zh-CN"/>
        </w:rPr>
        <w:t>防洪排涝规划</w:t>
      </w:r>
    </w:p>
    <w:p>
      <w:pPr>
        <w:ind w:firstLine="643"/>
        <w:rPr>
          <w:rFonts w:ascii="仿宋_GB2312" w:hAnsi="仿宋_GB2312" w:cs="仿宋_GB2312"/>
        </w:rPr>
      </w:pPr>
      <w:r>
        <w:rPr>
          <w:rFonts w:hint="eastAsia" w:ascii="仿宋_GB2312" w:hAnsi="仿宋_GB2312" w:cs="仿宋_GB2312"/>
          <w:b/>
        </w:rPr>
        <w:t>提升防洪排涝能力。</w:t>
      </w:r>
      <w:r>
        <w:rPr>
          <w:rFonts w:hint="eastAsia" w:ascii="仿宋_GB2312" w:hAnsi="仿宋_GB2312" w:cs="仿宋_GB2312"/>
        </w:rPr>
        <w:t>采用“以泄为主，泄蓄兼施”的防洪方针，提高堤防标准，结合采砂、岸线规划，疏浚、清淤规划内水系，保障行洪安全。遵循海绵城市和低影响开发理念，控制雨水径流，提高雨水资源化利用，满足内涝防治标准，构建适应经开区特征和社会经济发展水平的“渗、蓄、滞、净、用、排”一体的综合防洪排涝系统。</w:t>
      </w:r>
      <w:r>
        <w:rPr>
          <w:rFonts w:hint="eastAsia" w:ascii="仿宋_GB2312" w:hAnsi="仿宋_GB2312" w:cs="仿宋_GB2312"/>
          <w:b/>
          <w:u w:val="single"/>
        </w:rPr>
        <w:t>中心城区防洪结合上游龟石水库拦洪调度，使得沿贺江的贺州市城区防洪标准达到50年一遇洪水标准，贺江支流的城区防洪标准达到20年一遇洪水标准。贺州市城区防洪工程等别为Ⅱ等，主要建筑物级别为2级。</w:t>
      </w:r>
      <w:r>
        <w:rPr>
          <w:rFonts w:hint="eastAsia" w:ascii="仿宋_GB2312" w:hAnsi="仿宋_GB2312" w:cs="仿宋_GB2312"/>
        </w:rPr>
        <w:t>主要防洪措施为对贺江及其支流河道进行整治，扩大行洪断面，清除碍洪建筑物，提高河道泄洪能力。加固和建设龟石水库、贺江、马尾河、沙田河、西湾河等水系的堤坝，确保城区的防洪安全。</w:t>
      </w:r>
    </w:p>
    <w:p>
      <w:pPr>
        <w:ind w:firstLine="643"/>
        <w:rPr>
          <w:rFonts w:ascii="仿宋_GB2312" w:hAnsi="仿宋_GB2312" w:cs="仿宋_GB2312"/>
          <w:b/>
          <w:u w:val="single"/>
        </w:rPr>
      </w:pPr>
      <w:r>
        <w:rPr>
          <w:rFonts w:hint="eastAsia" w:ascii="仿宋_GB2312" w:hAnsi="仿宋_GB2312" w:cs="仿宋_GB2312"/>
          <w:b/>
        </w:rPr>
        <w:t>结合“海绵城市”建设，建立完善的超标雨水行泄通道体系。</w:t>
      </w:r>
      <w:r>
        <w:rPr>
          <w:rFonts w:hint="eastAsia" w:ascii="仿宋_GB2312" w:hAnsi="仿宋_GB2312" w:cs="仿宋_GB2312"/>
          <w:b/>
          <w:u w:val="single"/>
        </w:rPr>
        <w:t>排涝标准自排采用20年一遇最大24小时暴雨洪水，抽排标准按内外江雨洪同期10年一遇24小时暴雨洪水。</w:t>
      </w:r>
      <w:r>
        <w:rPr>
          <w:rFonts w:hint="eastAsia" w:ascii="仿宋_GB2312" w:hAnsi="仿宋_GB2312" w:cs="仿宋_GB2312"/>
        </w:rPr>
        <w:t>主要排涝工程为采用上游拦蓄、下游槽蓄、河口抽排的方式。沿贺江、马尾河、沙田河、西湾河等水系沿岸按标准设置排涝泵站和排涝闸。</w:t>
      </w:r>
    </w:p>
    <w:p>
      <w:pPr>
        <w:pStyle w:val="5"/>
        <w:numPr>
          <w:ilvl w:val="0"/>
          <w:numId w:val="5"/>
        </w:numPr>
        <w:spacing w:before="156" w:after="0" w:afterLines="0"/>
        <w:ind w:left="0" w:firstLine="640"/>
        <w:rPr>
          <w:lang w:val="zh-CN"/>
        </w:rPr>
      </w:pPr>
      <w:r>
        <w:rPr>
          <w:rFonts w:hint="eastAsia"/>
          <w:lang w:val="zh-CN"/>
        </w:rPr>
        <w:t>抗震防灾规划</w:t>
      </w:r>
    </w:p>
    <w:p>
      <w:pPr>
        <w:ind w:firstLine="643"/>
        <w:rPr>
          <w:rFonts w:ascii="仿宋_GB2312" w:hAnsi="仿宋_GB2312" w:cs="仿宋_GB2312"/>
          <w:b/>
          <w:u w:val="single"/>
        </w:rPr>
      </w:pPr>
      <w:r>
        <w:rPr>
          <w:rFonts w:hint="eastAsia" w:ascii="仿宋_GB2312" w:hAnsi="仿宋_GB2312" w:cs="仿宋_GB2312"/>
          <w:b/>
        </w:rPr>
        <w:t>抗震设防标准。</w:t>
      </w:r>
      <w:r>
        <w:rPr>
          <w:rFonts w:hint="eastAsia" w:ascii="仿宋_GB2312" w:hAnsi="仿宋_GB2312" w:cs="仿宋_GB2312"/>
          <w:b/>
          <w:u w:val="single"/>
        </w:rPr>
        <w:t>一般建筑按照抗震设防烈度6度进行抗震设防，学校、医院等人流大的公共建筑和生命线系统关键设施应按照相关文件和规范提高抗震设防要求进行抗震设防，重大建设工程、可能发生严重次生灾害的建设工程等应当按照国务院有关规定进行地震安全性评价，并按照经审定的地震安全性评价报告所确定的抗震设防要求进行抗震设防。</w:t>
      </w:r>
    </w:p>
    <w:p>
      <w:pPr>
        <w:ind w:firstLine="643"/>
        <w:rPr>
          <w:rFonts w:ascii="仿宋_GB2312" w:hAnsi="仿宋_GB2312" w:cs="仿宋_GB2312"/>
        </w:rPr>
      </w:pPr>
      <w:r>
        <w:rPr>
          <w:rFonts w:hint="eastAsia" w:ascii="仿宋_GB2312" w:hAnsi="仿宋_GB2312" w:cs="仿宋_GB2312"/>
          <w:b/>
        </w:rPr>
        <w:t>避震疏散场地。</w:t>
      </w:r>
      <w:r>
        <w:rPr>
          <w:rFonts w:hint="eastAsia" w:ascii="仿宋_GB2312" w:hAnsi="仿宋_GB2312" w:cs="仿宋_GB2312"/>
          <w:b/>
          <w:u w:val="single"/>
        </w:rPr>
        <w:t>避震疏散场所人均有效避难面积应符合以下要求：紧急避震疏散场所人均有效避难面积不小于1平方米，固定避震疏散场所人均有效避难面积不小于2平方米。要建立紧急、固定和中心避震疏散场地相结合的疏散场地体系；新建住宅区、工厂等单位，都应按有关要求设置绿地和其他公共空间。规划的城市公园、广场、停车场地、运动场及中学的操场等用地规模不小于1公顷场所作为地震时固定疏散场所，应加以严格保护。</w:t>
      </w:r>
    </w:p>
    <w:p>
      <w:pPr>
        <w:ind w:firstLine="643"/>
        <w:rPr>
          <w:rFonts w:ascii="仿宋_GB2312" w:hAnsi="仿宋_GB2312" w:cs="仿宋_GB2312"/>
          <w:b/>
          <w:u w:val="single"/>
        </w:rPr>
      </w:pPr>
      <w:r>
        <w:rPr>
          <w:rFonts w:hint="eastAsia" w:ascii="仿宋_GB2312" w:hAnsi="仿宋_GB2312" w:cs="仿宋_GB2312"/>
          <w:b/>
        </w:rPr>
        <w:t>避震疏散通道。</w:t>
      </w:r>
      <w:r>
        <w:rPr>
          <w:rFonts w:hint="eastAsia" w:ascii="仿宋_GB2312" w:hAnsi="仿宋_GB2312" w:cs="仿宋_GB2312"/>
          <w:b/>
          <w:u w:val="single"/>
        </w:rPr>
        <w:t>规划避震疏散通道主要利用城市主要干道、环路及与城市对外交通设施相联系的骨干道路，形成通畅的快速疏散体系。沿线建筑物控制高度和建筑后退，以保证建筑物塌倒后仍能通行。</w:t>
      </w:r>
    </w:p>
    <w:p>
      <w:pPr>
        <w:pStyle w:val="5"/>
        <w:numPr>
          <w:ilvl w:val="0"/>
          <w:numId w:val="5"/>
        </w:numPr>
        <w:spacing w:before="156" w:after="0" w:afterLines="0"/>
        <w:ind w:left="0" w:firstLine="640"/>
        <w:rPr>
          <w:lang w:val="zh-CN"/>
        </w:rPr>
      </w:pPr>
      <w:r>
        <w:rPr>
          <w:rFonts w:hint="eastAsia"/>
          <w:lang w:val="zh-CN"/>
        </w:rPr>
        <w:t>地质灾害防治规划</w:t>
      </w:r>
    </w:p>
    <w:p>
      <w:pPr>
        <w:pStyle w:val="2"/>
        <w:ind w:firstLine="643"/>
        <w:rPr>
          <w:rFonts w:ascii="仿宋_GB2312" w:hAnsi="仿宋_GB2312" w:cs="仿宋_GB2312"/>
        </w:rPr>
      </w:pPr>
      <w:r>
        <w:rPr>
          <w:rFonts w:hint="eastAsia" w:ascii="仿宋_GB2312" w:hAnsi="仿宋_GB2312" w:cs="仿宋_GB2312"/>
          <w:b/>
        </w:rPr>
        <w:t>建立现代化地质灾害防治管理体系。</w:t>
      </w:r>
      <w:r>
        <w:rPr>
          <w:rFonts w:hint="eastAsia" w:ascii="仿宋_GB2312" w:hAnsi="仿宋_GB2312" w:cs="仿宋_GB2312"/>
        </w:rPr>
        <w:t>加强规划建设用地范围内地质灾害危险性评估，有效防范地质灾害隐患。中心城区主要防范危岩崩塌、岩溶地面塌陷等区域，其中平桂区还需要加强防范矿产采空区域。靠近山体的房屋建设应预留足够的缓冲区域，同步建设防护措施。</w:t>
      </w:r>
    </w:p>
    <w:p>
      <w:pPr>
        <w:pStyle w:val="5"/>
        <w:numPr>
          <w:ilvl w:val="0"/>
          <w:numId w:val="5"/>
        </w:numPr>
        <w:spacing w:before="156" w:after="0" w:afterLines="0"/>
        <w:ind w:left="0" w:firstLine="640"/>
        <w:rPr>
          <w:lang w:val="zh-CN"/>
        </w:rPr>
      </w:pPr>
      <w:r>
        <w:rPr>
          <w:rFonts w:hint="eastAsia"/>
          <w:lang w:val="zh-CN"/>
        </w:rPr>
        <w:t>消防规划</w:t>
      </w:r>
    </w:p>
    <w:p>
      <w:pPr>
        <w:spacing w:after="156" w:afterLines="50"/>
        <w:ind w:firstLine="643"/>
        <w:rPr>
          <w:rFonts w:ascii="仿宋_GB2312" w:hAnsi="仿宋_GB2312" w:cs="仿宋_GB2312"/>
          <w:b/>
        </w:rPr>
      </w:pPr>
      <w:r>
        <w:rPr>
          <w:rFonts w:hint="eastAsia" w:ascii="仿宋_GB2312" w:hAnsi="仿宋_GB2312" w:cs="仿宋_GB2312"/>
          <w:b/>
        </w:rPr>
        <w:t>消防站规划。</w:t>
      </w:r>
      <w:r>
        <w:rPr>
          <w:rFonts w:hint="eastAsia" w:ascii="仿宋_GB2312" w:hAnsi="仿宋_GB2312" w:cs="仿宋_GB2312"/>
        </w:rPr>
        <w:t>发展多形式、多等级的消防力量。构建以公安消防队为主体，政府专职消防队、单位专职消防队和志愿消防队等多形式消防队伍为补充的消防力量体系。</w:t>
      </w:r>
      <w:r>
        <w:rPr>
          <w:rFonts w:hint="eastAsia" w:ascii="仿宋_GB2312" w:hAnsi="仿宋_GB2312" w:cs="仿宋_GB2312"/>
          <w:b/>
          <w:bCs/>
          <w:u w:val="single"/>
        </w:rPr>
        <w:t>到2035年，</w:t>
      </w:r>
      <w:r>
        <w:rPr>
          <w:rFonts w:hint="eastAsia" w:ascii="仿宋_GB2312" w:hAnsi="仿宋_GB2312" w:cs="仿宋_GB2312"/>
          <w:b/>
          <w:u w:val="single"/>
        </w:rPr>
        <w:t>中心城区规划共设置特勤消防站4座，一级普通消防站10座，</w:t>
      </w:r>
      <w:r>
        <w:rPr>
          <w:rFonts w:hint="eastAsia" w:ascii="仿宋_GB2312" w:hAnsi="仿宋_GB2312" w:cs="仿宋_GB2312"/>
        </w:rPr>
        <w:t>消防训练基地1座，采取新建、改建、配建、合建、租赁等方式，因地制宜建设规模适当的小型普通消防站。特勤消防站、一级普通消防站责任区面积不宜大于7平方公里；设在城市边缘地区、新区且道路系统较为顺畅的普通消防站，应以消防队接到出动指令后5分钟内可到达辖区边缘为原则确定责任区范围，其面积不应大于</w:t>
      </w:r>
      <w:r>
        <w:rPr>
          <w:rFonts w:ascii="仿宋_GB2312" w:hAnsi="仿宋_GB2312" w:cs="仿宋_GB2312"/>
        </w:rPr>
        <w:t>15</w:t>
      </w:r>
      <w:r>
        <w:rPr>
          <w:rFonts w:hint="eastAsia" w:ascii="仿宋_GB2312" w:hAnsi="仿宋_GB2312" w:cs="仿宋_GB2312"/>
        </w:rPr>
        <w:t>平方公里；也可以通过城市或区域火灾风险评估确定消防辖区面积</w:t>
      </w:r>
      <w:r>
        <w:rPr>
          <w:rFonts w:hint="eastAsia" w:ascii="仿宋_GB2312" w:hAnsi="仿宋_GB2312" w:cs="仿宋_GB2312"/>
          <w:bCs/>
        </w:rPr>
        <w:t>。</w:t>
      </w:r>
    </w:p>
    <w:p>
      <w:pPr>
        <w:ind w:firstLine="643"/>
        <w:rPr>
          <w:rFonts w:ascii="仿宋_GB2312" w:hAnsi="仿宋_GB2312" w:cs="仿宋_GB2312"/>
        </w:rPr>
      </w:pPr>
      <w:r>
        <w:rPr>
          <w:rFonts w:hint="eastAsia" w:ascii="仿宋_GB2312" w:hAnsi="仿宋_GB2312" w:cs="仿宋_GB2312"/>
          <w:b/>
        </w:rPr>
        <w:t>消防给水规划。</w:t>
      </w:r>
      <w:r>
        <w:rPr>
          <w:rFonts w:hint="eastAsia" w:ascii="仿宋_GB2312" w:hAnsi="仿宋_GB2312" w:cs="仿宋_GB2312"/>
        </w:rPr>
        <w:t>消防供水依靠城市供水系统，消防用水与生活用水共网，采用同一系统，规划生活水厂联网供水，以增强供水能力和供水可靠性。充分利用贺江、马尾河、内湖等大面积水体及其他水系作为消防水源，沿线设置固定消防取水点（取水码头）。</w:t>
      </w:r>
    </w:p>
    <w:p>
      <w:pPr>
        <w:ind w:firstLine="643"/>
        <w:rPr>
          <w:rFonts w:ascii="仿宋_GB2312" w:hAnsi="仿宋_GB2312" w:cs="仿宋_GB2312"/>
        </w:rPr>
      </w:pPr>
      <w:r>
        <w:rPr>
          <w:rFonts w:hint="eastAsia" w:ascii="仿宋_GB2312" w:hAnsi="仿宋_GB2312" w:cs="仿宋_GB2312"/>
          <w:b/>
        </w:rPr>
        <w:t>消防车道规划。</w:t>
      </w:r>
      <w:r>
        <w:rPr>
          <w:rFonts w:hint="eastAsia" w:ascii="仿宋_GB2312" w:hAnsi="仿宋_GB2312" w:cs="仿宋_GB2312"/>
        </w:rPr>
        <w:t>城市道路的宽度及天桥、立交桥的建设，应满足消防车通行和灭火作战的需要。道路网建设应考虑城市总体规划旧城更新要求，打通旧城区的消防通道。</w:t>
      </w:r>
    </w:p>
    <w:p>
      <w:pPr>
        <w:ind w:firstLine="643"/>
        <w:rPr>
          <w:rFonts w:ascii="仿宋_GB2312" w:hAnsi="仿宋_GB2312" w:cs="仿宋_GB2312"/>
        </w:rPr>
      </w:pPr>
      <w:r>
        <w:rPr>
          <w:rFonts w:hint="eastAsia" w:ascii="仿宋_GB2312" w:hAnsi="仿宋_GB2312" w:cs="仿宋_GB2312"/>
          <w:b/>
        </w:rPr>
        <w:t>消防通信规划。</w:t>
      </w:r>
      <w:r>
        <w:rPr>
          <w:rFonts w:hint="eastAsia" w:ascii="仿宋_GB2312" w:hAnsi="仿宋_GB2312" w:cs="仿宋_GB2312"/>
        </w:rPr>
        <w:t>规划将</w:t>
      </w:r>
      <w:bookmarkStart w:id="337" w:name="OLE_LINK4"/>
      <w:r>
        <w:rPr>
          <w:rFonts w:hint="eastAsia" w:ascii="仿宋_GB2312" w:hAnsi="仿宋_GB2312" w:cs="仿宋_GB2312"/>
        </w:rPr>
        <w:t>平安城市管理监控平台、交通道路监控平台和警用地理信息平台（PGIS）集成到119消防指挥中心平台</w:t>
      </w:r>
      <w:bookmarkEnd w:id="337"/>
      <w:r>
        <w:rPr>
          <w:rFonts w:hint="eastAsia" w:ascii="仿宋_GB2312" w:hAnsi="仿宋_GB2312" w:cs="仿宋_GB2312"/>
        </w:rPr>
        <w:t>，为消防力量调度提供决策。建设贺州市灭火救援移动指挥平台。依托广西公安警用数字集群系统（</w:t>
      </w:r>
      <w:r>
        <w:rPr>
          <w:rFonts w:hint="eastAsia" w:ascii="宋体" w:hAnsi="宋体" w:eastAsia="宋体" w:cs="宋体"/>
        </w:rPr>
        <w:t>PDT</w:t>
      </w:r>
      <w:r>
        <w:rPr>
          <w:rFonts w:hint="eastAsia" w:ascii="仿宋_GB2312" w:hAnsi="仿宋_GB2312" w:cs="仿宋_GB2312"/>
        </w:rPr>
        <w:t>），完成贺州市消防数字集群通信系统，完善火场三级网调度。</w:t>
      </w:r>
    </w:p>
    <w:p>
      <w:pPr>
        <w:pStyle w:val="5"/>
        <w:numPr>
          <w:ilvl w:val="0"/>
          <w:numId w:val="5"/>
        </w:numPr>
        <w:spacing w:before="156" w:after="0" w:afterLines="0"/>
        <w:ind w:left="0" w:firstLine="640"/>
        <w:rPr>
          <w:rFonts w:ascii="仿宋_GB2312" w:hAnsi="仿宋_GB2312" w:cs="仿宋_GB2312"/>
        </w:rPr>
      </w:pPr>
      <w:r>
        <w:rPr>
          <w:rFonts w:hint="eastAsia"/>
          <w:lang w:val="zh-CN"/>
        </w:rPr>
        <w:t>城市消防安全布局</w:t>
      </w:r>
    </w:p>
    <w:p>
      <w:pPr>
        <w:ind w:firstLine="640"/>
      </w:pPr>
      <w:r>
        <w:rPr>
          <w:rFonts w:hint="eastAsia"/>
        </w:rPr>
        <w:t>危险品生产、储存单位要逐步从中心城区迁出。规划安排在城市的边缘或者相对独立的安全地带，远离居民生活区、</w:t>
      </w:r>
      <w:r>
        <w:rPr>
          <w:rFonts w:hint="eastAsia"/>
          <w:lang w:val="zh-CN"/>
        </w:rPr>
        <w:t>商业区</w:t>
      </w:r>
      <w:r>
        <w:rPr>
          <w:rFonts w:hint="eastAsia"/>
        </w:rPr>
        <w:t>等人员密集场所，并处在常年最小频率风向的下风向和侧风向。将占地大、货运量大、火灾危险性大、有一定污染的企业布置在建成区的外围，易燃易爆、能散发可燃性气体、粉尘、腐蚀性物质的企业要布置在城市的下风方向。</w:t>
      </w:r>
    </w:p>
    <w:p>
      <w:pPr>
        <w:pStyle w:val="5"/>
        <w:numPr>
          <w:ilvl w:val="0"/>
          <w:numId w:val="5"/>
        </w:numPr>
        <w:spacing w:before="156" w:after="0" w:afterLines="0"/>
        <w:ind w:left="0" w:firstLine="640"/>
        <w:rPr>
          <w:lang w:val="zh-CN"/>
        </w:rPr>
      </w:pPr>
      <w:r>
        <w:rPr>
          <w:rFonts w:hint="eastAsia"/>
          <w:lang w:val="zh-CN"/>
        </w:rPr>
        <w:t>人防规划</w:t>
      </w:r>
    </w:p>
    <w:p>
      <w:pPr>
        <w:ind w:firstLine="643"/>
        <w:rPr>
          <w:rFonts w:ascii="仿宋_GB2312" w:hAnsi="仿宋_GB2312" w:cs="仿宋_GB2312"/>
        </w:rPr>
      </w:pPr>
      <w:r>
        <w:rPr>
          <w:rFonts w:hint="eastAsia" w:ascii="仿宋_GB2312" w:hAnsi="仿宋_GB2312" w:cs="仿宋_GB2312"/>
          <w:b/>
        </w:rPr>
        <w:t>人员掩护工程。</w:t>
      </w:r>
      <w:r>
        <w:rPr>
          <w:rFonts w:hint="eastAsia" w:ascii="仿宋_GB2312" w:hAnsi="仿宋_GB2312" w:cs="仿宋_GB2312"/>
        </w:rPr>
        <w:t>按战时留市人口约占城市总人口的</w:t>
      </w:r>
      <w:r>
        <w:rPr>
          <w:rFonts w:ascii="仿宋_GB2312" w:hAnsi="仿宋_GB2312" w:cs="仿宋_GB2312"/>
        </w:rPr>
        <w:t>5</w:t>
      </w:r>
      <w:r>
        <w:rPr>
          <w:rFonts w:hint="eastAsia" w:ascii="仿宋_GB2312" w:hAnsi="仿宋_GB2312" w:cs="仿宋_GB2312"/>
        </w:rPr>
        <w:t>0%，人均1平方米计算掩护工程，则</w:t>
      </w:r>
      <w:r>
        <w:rPr>
          <w:rFonts w:hint="eastAsia" w:ascii="仿宋_GB2312" w:hAnsi="仿宋_GB2312" w:cs="仿宋_GB2312"/>
          <w:b/>
          <w:u w:val="single"/>
        </w:rPr>
        <w:t>城市人防掩护工程总面积为</w:t>
      </w:r>
      <w:r>
        <w:rPr>
          <w:rFonts w:ascii="仿宋_GB2312" w:hAnsi="仿宋_GB2312" w:cs="仿宋_GB2312"/>
          <w:b/>
          <w:u w:val="single"/>
        </w:rPr>
        <w:t>45</w:t>
      </w:r>
      <w:r>
        <w:rPr>
          <w:rFonts w:hint="eastAsia" w:ascii="仿宋_GB2312" w:hAnsi="仿宋_GB2312" w:cs="仿宋_GB2312"/>
          <w:b/>
          <w:u w:val="single"/>
        </w:rPr>
        <w:t>.5万平方米</w:t>
      </w:r>
      <w:r>
        <w:rPr>
          <w:rFonts w:hint="eastAsia" w:ascii="仿宋_GB2312" w:hAnsi="仿宋_GB2312" w:cs="仿宋_GB2312"/>
        </w:rPr>
        <w:t>。</w:t>
      </w:r>
    </w:p>
    <w:p>
      <w:pPr>
        <w:ind w:firstLine="643"/>
        <w:rPr>
          <w:rFonts w:ascii="仿宋_GB2312" w:hAnsi="仿宋_GB2312" w:cs="仿宋_GB2312"/>
        </w:rPr>
      </w:pPr>
      <w:r>
        <w:rPr>
          <w:rFonts w:hint="eastAsia" w:ascii="仿宋_GB2312" w:hAnsi="仿宋_GB2312" w:cs="仿宋_GB2312"/>
          <w:b/>
        </w:rPr>
        <w:t>医疗救护工程。</w:t>
      </w:r>
      <w:r>
        <w:rPr>
          <w:rFonts w:hint="eastAsia" w:ascii="仿宋_GB2312" w:hAnsi="仿宋_GB2312" w:cs="仿宋_GB2312"/>
        </w:rPr>
        <w:t>根据“防空袭预案”要求，规划战时地下医院。分为中心医院、急救医院和救护站三级机构，分别以满足10万、5万和1万人（按平时人口计）的服务要求考虑，并结合城市用地布局规划医疗设施的等级规模和位置等加以设置。</w:t>
      </w:r>
    </w:p>
    <w:p>
      <w:pPr>
        <w:pStyle w:val="2"/>
        <w:ind w:firstLine="643"/>
        <w:rPr>
          <w:rFonts w:ascii="仿宋_GB2312" w:hAnsi="仿宋_GB2312" w:cs="仿宋_GB2312"/>
        </w:rPr>
      </w:pPr>
      <w:r>
        <w:rPr>
          <w:rFonts w:hint="eastAsia" w:ascii="仿宋_GB2312" w:hAnsi="仿宋_GB2312" w:cs="仿宋_GB2312"/>
          <w:b/>
        </w:rPr>
        <w:t>专业队伍建设。</w:t>
      </w:r>
      <w:r>
        <w:rPr>
          <w:rFonts w:hint="eastAsia" w:ascii="仿宋_GB2312" w:hAnsi="仿宋_GB2312" w:cs="仿宋_GB2312"/>
        </w:rPr>
        <w:t>建立市—区（县）—街道（镇）三级人防专业队伍。分消防、治安、通信保障、抢险抢修、防化、运输六类。各专业队的布置分别结合消防、电信、车站、停车场等相应的城市设施及用地布置。</w:t>
      </w:r>
    </w:p>
    <w:p>
      <w:pPr>
        <w:pStyle w:val="2"/>
        <w:ind w:firstLine="643"/>
        <w:rPr>
          <w:rFonts w:ascii="仿宋_GB2312" w:hAnsi="仿宋_GB2312" w:cs="仿宋_GB2312"/>
        </w:rPr>
      </w:pPr>
      <w:r>
        <w:rPr>
          <w:rFonts w:hint="eastAsia" w:ascii="仿宋_GB2312" w:hAnsi="仿宋_GB2312" w:cs="仿宋_GB2312"/>
          <w:b/>
        </w:rPr>
        <w:t>人员掩蔽工程。</w:t>
      </w:r>
      <w:r>
        <w:rPr>
          <w:rFonts w:hint="eastAsia" w:ascii="仿宋_GB2312" w:hAnsi="仿宋_GB2312" w:cs="仿宋_GB2312"/>
        </w:rPr>
        <w:t>主要分为两等，一等人员掩蔽所为1.3平方米/人，二等人员掩蔽所为1平方米/人。掩蔽所主要结合居住建筑和公共建筑设置，应布置在人员居住、工作的适中位置，其服务半径不宜大于200米。</w:t>
      </w:r>
    </w:p>
    <w:p>
      <w:pPr>
        <w:pStyle w:val="2"/>
        <w:ind w:firstLine="643"/>
        <w:rPr>
          <w:rFonts w:ascii="仿宋_GB2312" w:hAnsi="仿宋_GB2312" w:cs="仿宋_GB2312"/>
        </w:rPr>
      </w:pPr>
      <w:r>
        <w:rPr>
          <w:rFonts w:hint="eastAsia" w:ascii="仿宋_GB2312" w:hAnsi="仿宋_GB2312" w:cs="仿宋_GB2312"/>
          <w:b/>
        </w:rPr>
        <w:t>人防疏散干道。</w:t>
      </w:r>
      <w:r>
        <w:rPr>
          <w:rFonts w:hint="eastAsia" w:ascii="仿宋_GB2312" w:hAnsi="仿宋_GB2312" w:cs="仿宋_GB2312"/>
        </w:rPr>
        <w:t>包括公路隧道、人行地道、人防坑道、大型管道沟等；建造疏散连通工程及连通通道，联网成片，增强城市防护机动性。</w:t>
      </w:r>
    </w:p>
    <w:p>
      <w:pPr>
        <w:pStyle w:val="4"/>
        <w:numPr>
          <w:ilvl w:val="0"/>
          <w:numId w:val="11"/>
        </w:numPr>
        <w:tabs>
          <w:tab w:val="left" w:pos="360"/>
        </w:tabs>
        <w:spacing w:before="156" w:beforeLines="50" w:line="460" w:lineRule="exact"/>
        <w:ind w:left="0" w:firstLine="0"/>
        <w:rPr>
          <w:rFonts w:ascii="Times New Roman" w:hAnsi="Times New Roman"/>
        </w:rPr>
      </w:pPr>
      <w:bookmarkStart w:id="338" w:name="_Toc22054"/>
      <w:bookmarkStart w:id="339" w:name="_Toc20179"/>
      <w:bookmarkStart w:id="340" w:name="_Toc22889"/>
      <w:bookmarkStart w:id="341" w:name="_Toc14285"/>
      <w:bookmarkStart w:id="342" w:name="_Toc3553"/>
      <w:bookmarkStart w:id="343" w:name="_Toc8514"/>
      <w:bookmarkStart w:id="344" w:name="_Toc213018269"/>
      <w:bookmarkStart w:id="345" w:name="_Toc2939"/>
      <w:bookmarkStart w:id="346" w:name="_Toc22181"/>
      <w:bookmarkStart w:id="347" w:name="_Toc16567"/>
      <w:bookmarkStart w:id="348" w:name="_Toc13199_WPSOffice_Level2"/>
      <w:r>
        <w:rPr>
          <w:rFonts w:hint="eastAsia" w:ascii="Times New Roman" w:hAnsi="Times New Roman"/>
        </w:rPr>
        <w:t>城市更新和存量土地盘活利用</w:t>
      </w:r>
      <w:bookmarkEnd w:id="338"/>
      <w:bookmarkEnd w:id="339"/>
      <w:bookmarkEnd w:id="340"/>
      <w:bookmarkEnd w:id="341"/>
      <w:bookmarkEnd w:id="342"/>
      <w:bookmarkEnd w:id="343"/>
      <w:bookmarkEnd w:id="344"/>
      <w:bookmarkEnd w:id="345"/>
      <w:bookmarkEnd w:id="346"/>
      <w:bookmarkEnd w:id="347"/>
      <w:bookmarkEnd w:id="348"/>
    </w:p>
    <w:p>
      <w:pPr>
        <w:pStyle w:val="5"/>
        <w:numPr>
          <w:ilvl w:val="0"/>
          <w:numId w:val="5"/>
        </w:numPr>
        <w:spacing w:before="156" w:after="0" w:afterLines="0"/>
        <w:ind w:left="0" w:firstLine="640"/>
        <w:rPr>
          <w:lang w:val="zh-CN"/>
        </w:rPr>
      </w:pPr>
      <w:r>
        <w:rPr>
          <w:rFonts w:hint="eastAsia"/>
          <w:lang w:val="zh-CN"/>
        </w:rPr>
        <w:t>存量用地更新</w:t>
      </w:r>
    </w:p>
    <w:p>
      <w:pPr>
        <w:ind w:firstLine="640"/>
        <w:rPr>
          <w:rFonts w:ascii="仿宋_GB2312" w:hAnsi="仿宋_GB2312" w:cs="仿宋_GB2312"/>
        </w:rPr>
      </w:pPr>
      <w:r>
        <w:rPr>
          <w:rFonts w:hint="eastAsia" w:ascii="仿宋_GB2312" w:hAnsi="仿宋_GB2312" w:cs="仿宋_GB2312"/>
        </w:rPr>
        <w:t>结合城市功能定位、分区发展策划与片区存量空间情况，有序开展城市更新实施工作。以促进产业转型升级、提升产业空间效率为重点，重点面向平桂区西发街、电厂路一带以及八达东路以南、桂粤湘大道以东的现状低效或闲置工业仓储空间实施减量腾退，退出后重点实施民生设施补短板和生态环境建设；鼓励中心城区其他产业园内的产业空间实施更新改造与转型升级。</w:t>
      </w:r>
    </w:p>
    <w:p>
      <w:pPr>
        <w:pStyle w:val="5"/>
        <w:numPr>
          <w:ilvl w:val="0"/>
          <w:numId w:val="5"/>
        </w:numPr>
        <w:spacing w:before="156" w:after="0" w:afterLines="0"/>
        <w:ind w:left="0" w:firstLine="640"/>
        <w:rPr>
          <w:lang w:val="zh-CN"/>
        </w:rPr>
      </w:pPr>
      <w:r>
        <w:rPr>
          <w:rFonts w:hint="eastAsia"/>
          <w:lang w:val="zh-CN"/>
        </w:rPr>
        <w:t>城市更新</w:t>
      </w:r>
    </w:p>
    <w:p>
      <w:pPr>
        <w:snapToGrid w:val="0"/>
        <w:ind w:firstLine="643"/>
        <w:rPr>
          <w:rFonts w:ascii="仿宋_GB2312" w:hAnsi="仿宋_GB2312" w:cs="仿宋_GB2312"/>
          <w:bCs/>
          <w:szCs w:val="30"/>
        </w:rPr>
      </w:pPr>
      <w:r>
        <w:rPr>
          <w:rFonts w:hint="eastAsia" w:ascii="仿宋_GB2312" w:hAnsi="仿宋_GB2312" w:cs="仿宋_GB2312"/>
          <w:b/>
          <w:szCs w:val="30"/>
        </w:rPr>
        <w:t>产业园、工业园改造。</w:t>
      </w:r>
      <w:r>
        <w:rPr>
          <w:rFonts w:hint="eastAsia" w:ascii="仿宋_GB2312" w:hAnsi="仿宋_GB2312" w:cs="仿宋_GB2312"/>
        </w:rPr>
        <w:t>以国有低效存量产业用地更新和集体产业用地整治改造为重点，促进产业转型升级。对集中建设区外零散分布、效益低的工业用地实施减量腾退，退出后重点实施生态环境建设。</w:t>
      </w:r>
    </w:p>
    <w:p>
      <w:pPr>
        <w:ind w:firstLine="643"/>
        <w:rPr>
          <w:rFonts w:ascii="仿宋_GB2312" w:hAnsi="仿宋_GB2312" w:cs="仿宋_GB2312"/>
        </w:rPr>
      </w:pPr>
      <w:r>
        <w:rPr>
          <w:rFonts w:hint="eastAsia" w:ascii="仿宋_GB2312" w:hAnsi="仿宋_GB2312" w:cs="仿宋_GB2312"/>
          <w:b/>
        </w:rPr>
        <w:t>旧城区整治改造。</w:t>
      </w:r>
      <w:r>
        <w:rPr>
          <w:rFonts w:hint="eastAsia" w:ascii="仿宋_GB2312" w:hAnsi="仿宋_GB2312" w:cs="仿宋_GB2312"/>
        </w:rPr>
        <w:t>改善老旧小区居住条件，开展建筑节能改造，养老、适老化设施改造，无障碍设施改造，既有住宅加装电梯，停车位改造等工作，提升居住环境品质和公共服务能力；建立老旧小区日常管理维护长效机制，促进物业管理规范化、社会化、精细化；重点推进老城区内老旧小区改造工作。完善棚户区和城中村改造政策、改善居民居住条件，积极推进中心城区旧房改造、简易楼拆迁、城中村边角地等的整治改造，重点推进爱莲湖北侧现状城中村改造工作。</w:t>
      </w:r>
    </w:p>
    <w:p>
      <w:pPr>
        <w:ind w:firstLine="643"/>
        <w:rPr>
          <w:rFonts w:ascii="仿宋_GB2312" w:hAnsi="仿宋_GB2312" w:cs="仿宋_GB2312"/>
        </w:rPr>
      </w:pPr>
      <w:r>
        <w:rPr>
          <w:rFonts w:hint="eastAsia" w:ascii="仿宋_GB2312" w:hAnsi="仿宋_GB2312" w:cs="仿宋_GB2312"/>
          <w:b/>
        </w:rPr>
        <w:t>新城区更新建设。</w:t>
      </w:r>
      <w:r>
        <w:rPr>
          <w:rFonts w:hint="eastAsia" w:ascii="仿宋_GB2312" w:hAnsi="仿宋_GB2312" w:cs="仿宋_GB2312"/>
        </w:rPr>
        <w:t>以打造“山水园林长寿城”、塑造“生态水墨山水画”城市风格为目标，依托连接中南西南、面向大湾区的区位优势，加快互联互通设施建设，围绕产业东融、人才东融、旅游东融、康养东融等扩大开放合作，打造现代化生态宜居城市，提升城区品质。</w:t>
      </w:r>
    </w:p>
    <w:p>
      <w:pPr>
        <w:ind w:firstLine="643"/>
        <w:rPr>
          <w:rFonts w:ascii="仿宋_GB2312" w:hAnsi="仿宋_GB2312" w:cs="仿宋_GB2312"/>
        </w:rPr>
      </w:pPr>
      <w:r>
        <w:rPr>
          <w:rFonts w:hint="eastAsia" w:ascii="仿宋_GB2312" w:hAnsi="仿宋_GB2312" w:cs="仿宋_GB2312"/>
          <w:b/>
        </w:rPr>
        <w:t>其他城区整治改造。</w:t>
      </w:r>
      <w:r>
        <w:rPr>
          <w:rFonts w:hint="eastAsia" w:ascii="仿宋_GB2312" w:hAnsi="仿宋_GB2312" w:cs="仿宋_GB2312"/>
        </w:rPr>
        <w:t>加强沿街立面整治，治理低小散块状行业，完善道路交通设施，拆除违章建筑、整改老旧房屋，提升绿化景观建设，打造具有贺州市特色的城镇风景线。</w:t>
      </w:r>
    </w:p>
    <w:p>
      <w:pPr>
        <w:pStyle w:val="5"/>
        <w:numPr>
          <w:ilvl w:val="0"/>
          <w:numId w:val="5"/>
        </w:numPr>
        <w:spacing w:before="156" w:after="0" w:afterLines="0"/>
        <w:ind w:left="0" w:firstLine="640"/>
        <w:rPr>
          <w:lang w:val="zh-CN"/>
        </w:rPr>
      </w:pPr>
      <w:r>
        <w:rPr>
          <w:rFonts w:hint="eastAsia"/>
          <w:lang w:val="zh-CN"/>
        </w:rPr>
        <w:t>城市更新重点区域</w:t>
      </w:r>
    </w:p>
    <w:p>
      <w:pPr>
        <w:ind w:firstLine="640"/>
        <w:rPr>
          <w:rFonts w:ascii="仿宋_GB2312" w:hAnsi="仿宋_GB2312" w:cs="仿宋_GB2312"/>
        </w:rPr>
      </w:pPr>
      <w:r>
        <w:rPr>
          <w:rFonts w:hint="eastAsia" w:ascii="仿宋_GB2312" w:hAnsi="仿宋_GB2312" w:cs="仿宋_GB2312"/>
        </w:rPr>
        <w:t>依据发展阶段与目标、用地潜力和空间布局特点不同，明确实施城市有机更新的重点区域，重点更新区域总面积总计约为1563公顷。其中，老城城市更新重点区域面积为1103公顷，西湾城市更新重点区域面积为75公顷，贺街城市更新重点区域面积为385公顷。</w:t>
      </w:r>
    </w:p>
    <w:p>
      <w:pPr>
        <w:ind w:firstLine="643"/>
        <w:rPr>
          <w:rFonts w:ascii="仿宋_GB2312" w:hAnsi="仿宋_GB2312" w:cs="仿宋_GB2312"/>
        </w:rPr>
      </w:pPr>
      <w:r>
        <w:rPr>
          <w:rFonts w:hint="eastAsia" w:ascii="仿宋_GB2312" w:hAnsi="仿宋_GB2312" w:cs="仿宋_GB2312"/>
          <w:b/>
        </w:rPr>
        <w:t>西湾街道更新单元。</w:t>
      </w:r>
      <w:r>
        <w:rPr>
          <w:rFonts w:hint="eastAsia" w:ascii="仿宋_GB2312" w:hAnsi="仿宋_GB2312" w:cs="仿宋_GB2312"/>
        </w:rPr>
        <w:t>位于平桂新城片区，保护与更新相协调，挖掘和展示贺州市厚重的工业文化底蕴，保存和凸显其场所精神，充实贺州市城市文化新内涵。鼓励与旅游开发进行有机结合，重塑街区功能，重现街区文化。</w:t>
      </w:r>
    </w:p>
    <w:p>
      <w:pPr>
        <w:ind w:firstLine="643"/>
        <w:rPr>
          <w:rFonts w:ascii="仿宋_GB2312" w:hAnsi="仿宋_GB2312" w:cs="仿宋_GB2312"/>
        </w:rPr>
      </w:pPr>
      <w:r>
        <w:rPr>
          <w:rFonts w:hint="eastAsia" w:ascii="仿宋_GB2312" w:hAnsi="仿宋_GB2312" w:cs="仿宋_GB2312"/>
          <w:b/>
        </w:rPr>
        <w:t>老城更新单元。</w:t>
      </w:r>
      <w:r>
        <w:rPr>
          <w:rFonts w:hint="eastAsia" w:ascii="仿宋_GB2312" w:hAnsi="仿宋_GB2312" w:cs="仿宋_GB2312"/>
        </w:rPr>
        <w:t>位于八步老城片区，以西约街活化作为片区发展“触媒点”，以市政设施补足、城市路网疏通作为片区发展“支撑点”，以滨水环境改善、城市风貌优化、社区治理提高作为片区发展“提升点”，打造“贺州特色地域文化的活力老城”。</w:t>
      </w:r>
    </w:p>
    <w:p>
      <w:pPr>
        <w:pStyle w:val="2"/>
        <w:ind w:firstLine="643"/>
        <w:rPr>
          <w:rFonts w:ascii="仿宋_GB2312" w:hAnsi="仿宋_GB2312" w:cs="仿宋_GB2312"/>
        </w:rPr>
      </w:pPr>
      <w:r>
        <w:rPr>
          <w:rFonts w:hint="eastAsia" w:ascii="仿宋_GB2312" w:hAnsi="仿宋_GB2312" w:cs="仿宋_GB2312"/>
          <w:b/>
        </w:rPr>
        <w:t>贺街更新单元。</w:t>
      </w:r>
      <w:r>
        <w:rPr>
          <w:rFonts w:hint="eastAsia" w:ascii="仿宋_GB2312" w:hAnsi="仿宋_GB2312" w:cs="仿宋_GB2312"/>
          <w:bCs/>
        </w:rPr>
        <w:t>位于贺街片区，遵循保护与开发共存的原则，以有机更新为主要手段进行保育、活化与复兴，注重环境保护与文化继承，保留传统街区和生活特色，保护古城风貌和肌理。在保护原历史街区的基础上，利用历史文化资源，融入现代元素，引入创新理念，打造特色文化标识，辐射带动周边服务配套产业，打造历史文化名镇及宗祠文脉特色小镇。在实施城市更新活动中，合理对地下文物保护区进行保护利用，落实“先考古、后出让”政策，在保障地下文物保护区安全的基础上，合理规划地上功能布局，开展与地下文物保护相协调的保护利用活动；基础设施建设合理避让地下文物，地下防灾工程及其他工程选线选址严格避让地下文物埋藏区，避免对地下文物造成过度扰动和破坏；科学利用地下空间进行遗址展示宣传，优化遗址区地下空间展陈等功能布局，补充地上辅助设施建设</w:t>
      </w:r>
      <w:r>
        <w:rPr>
          <w:rFonts w:hint="eastAsia" w:ascii="仿宋_GB2312" w:hAnsi="仿宋_GB2312" w:cs="仿宋_GB2312"/>
        </w:rPr>
        <w:t>。</w:t>
      </w:r>
    </w:p>
    <w:p>
      <w:pPr>
        <w:pStyle w:val="4"/>
        <w:numPr>
          <w:ilvl w:val="0"/>
          <w:numId w:val="11"/>
        </w:numPr>
        <w:tabs>
          <w:tab w:val="left" w:pos="360"/>
        </w:tabs>
        <w:spacing w:before="156" w:beforeLines="50" w:after="156" w:afterLines="50" w:line="460" w:lineRule="exact"/>
        <w:ind w:left="0" w:firstLine="0"/>
        <w:rPr>
          <w:rFonts w:ascii="Times New Roman" w:hAnsi="Times New Roman"/>
        </w:rPr>
      </w:pPr>
      <w:bookmarkStart w:id="349" w:name="_Toc32702"/>
      <w:bookmarkStart w:id="350" w:name="_Toc28778"/>
      <w:bookmarkStart w:id="351" w:name="_Toc13268"/>
      <w:bookmarkStart w:id="352" w:name="_Toc23603"/>
      <w:bookmarkStart w:id="353" w:name="_Toc19318"/>
      <w:bookmarkStart w:id="354" w:name="_Toc24042"/>
      <w:bookmarkStart w:id="355" w:name="_Toc24953_WPSOffice_Level2"/>
      <w:bookmarkStart w:id="356" w:name="_Toc19625"/>
      <w:bookmarkStart w:id="357" w:name="_Toc213018270"/>
      <w:bookmarkStart w:id="358" w:name="_Toc6216"/>
      <w:bookmarkStart w:id="359" w:name="_Toc7667"/>
      <w:bookmarkStart w:id="360" w:name="_Toc3089"/>
      <w:r>
        <w:rPr>
          <w:rFonts w:hint="eastAsia" w:ascii="Times New Roman" w:hAnsi="Times New Roman"/>
        </w:rPr>
        <w:t>地下空间开发利用</w:t>
      </w:r>
      <w:bookmarkEnd w:id="349"/>
      <w:bookmarkEnd w:id="350"/>
      <w:bookmarkEnd w:id="351"/>
      <w:bookmarkEnd w:id="352"/>
      <w:bookmarkEnd w:id="353"/>
      <w:bookmarkEnd w:id="354"/>
      <w:bookmarkEnd w:id="355"/>
      <w:bookmarkEnd w:id="356"/>
      <w:bookmarkEnd w:id="357"/>
      <w:bookmarkEnd w:id="358"/>
      <w:bookmarkEnd w:id="359"/>
      <w:bookmarkEnd w:id="360"/>
    </w:p>
    <w:p>
      <w:pPr>
        <w:pStyle w:val="5"/>
        <w:numPr>
          <w:ilvl w:val="0"/>
          <w:numId w:val="5"/>
        </w:numPr>
        <w:spacing w:before="156" w:after="0" w:afterLines="0"/>
        <w:ind w:left="0" w:firstLine="640"/>
        <w:rPr>
          <w:lang w:val="zh-CN"/>
        </w:rPr>
      </w:pPr>
      <w:r>
        <w:rPr>
          <w:rFonts w:hint="eastAsia"/>
          <w:lang w:val="zh-CN"/>
        </w:rPr>
        <w:t>地下空间开发</w:t>
      </w:r>
    </w:p>
    <w:p>
      <w:pPr>
        <w:ind w:firstLine="643"/>
        <w:rPr>
          <w:rFonts w:ascii="仿宋_GB2312" w:hAnsi="仿宋_GB2312" w:cs="仿宋_GB2312"/>
        </w:rPr>
      </w:pPr>
      <w:r>
        <w:rPr>
          <w:rFonts w:hint="eastAsia" w:ascii="仿宋_GB2312" w:hAnsi="仿宋_GB2312" w:cs="仿宋_GB2312"/>
          <w:b/>
        </w:rPr>
        <w:t>地下空间分类分层利用</w:t>
      </w:r>
      <w:r>
        <w:rPr>
          <w:rFonts w:hint="eastAsia" w:ascii="仿宋_GB2312" w:hAnsi="仿宋_GB2312" w:cs="仿宋_GB2312"/>
        </w:rPr>
        <w:t>。合理利用浅层，适度开发次浅层，保护及预留深层空间。浅层空间（地下15米以上）以建设商业服务、公共服务、人行通道、停车场站、地下道路、防空防灾、市政管线、市政场站、综合管廊等设施为主，部分区域可结合生产生活需要建设储藏设施；次浅层（地下15—30米）以建设地下干线道路、城际轨道、防空防灾、干线综合管廊等设施为主。坚持地下空间统筹规划、整体设计、统一建设、集中管理，逐步推进现有市政基础设施的地下化建设和已建地下空间的优化改造。</w:t>
      </w:r>
    </w:p>
    <w:p>
      <w:pPr>
        <w:ind w:firstLine="643"/>
        <w:rPr>
          <w:rFonts w:ascii="仿宋_GB2312" w:hAnsi="仿宋_GB2312" w:cs="仿宋_GB2312"/>
        </w:rPr>
      </w:pPr>
      <w:r>
        <w:rPr>
          <w:rFonts w:hint="eastAsia" w:ascii="仿宋_GB2312" w:hAnsi="仿宋_GB2312" w:cs="仿宋_GB2312"/>
          <w:b/>
        </w:rPr>
        <w:t>地下空间利用重点地区。</w:t>
      </w:r>
      <w:r>
        <w:rPr>
          <w:rFonts w:hint="eastAsia" w:ascii="仿宋_GB2312" w:hAnsi="仿宋_GB2312" w:cs="仿宋_GB2312"/>
        </w:rPr>
        <w:t>在城东新城片区、东融新城片区、江南新城片区及八步老城片区的城市公共活动聚集、建筑开发强度高的地区及商业中心区、交通枢纽区域重点考虑地下空间的开发利用。鼓励综合公园、广场绿地、城市更新项目等建设地下停车场。</w:t>
      </w:r>
    </w:p>
    <w:p>
      <w:pPr>
        <w:ind w:firstLine="643"/>
        <w:rPr>
          <w:rFonts w:ascii="仿宋_GB2312" w:hAnsi="仿宋_GB2312" w:cs="仿宋_GB2312"/>
        </w:rPr>
      </w:pPr>
      <w:r>
        <w:rPr>
          <w:rFonts w:hint="eastAsia" w:ascii="仿宋_GB2312" w:hAnsi="仿宋_GB2312" w:cs="仿宋_GB2312"/>
          <w:b/>
        </w:rPr>
        <w:t>——重点地下公共活动空间区域。</w:t>
      </w:r>
      <w:r>
        <w:rPr>
          <w:rFonts w:hint="eastAsia" w:ascii="仿宋_GB2312" w:hAnsi="仿宋_GB2312" w:cs="仿宋_GB2312"/>
        </w:rPr>
        <w:t>包括八步老城片区中心、东融新城片区贺州站前区域、贺州东站站前区域。其中八步老城片区中心地下空间开发利用结合城市更新，点状开发为主，以配套商业、公共服务、综合管廊、地下停车等基础设施为主。东融新城片区贺州站前区域为地下空间重点开发区，以面带点，以站前商业商务区为核心成片联动周边地下空间综合开发为主，以商业、交通、市政、公服、人防等地上地下一体化开发建设，形成贺州最具影响力的综合服务中心，并通过辐射和带动周边以地下停车、仓储、市政、人防等功能进行点状开发。</w:t>
      </w:r>
    </w:p>
    <w:p>
      <w:pPr>
        <w:ind w:firstLine="643"/>
        <w:rPr>
          <w:rFonts w:ascii="仿宋_GB2312" w:hAnsi="仿宋_GB2312" w:cs="仿宋_GB2312"/>
        </w:rPr>
      </w:pPr>
      <w:r>
        <w:rPr>
          <w:rFonts w:hint="eastAsia" w:ascii="仿宋_GB2312" w:hAnsi="仿宋_GB2312" w:cs="仿宋_GB2312"/>
          <w:b/>
        </w:rPr>
        <w:t>——重点地下文物埋藏区。</w:t>
      </w:r>
      <w:r>
        <w:rPr>
          <w:rFonts w:hint="eastAsia" w:ascii="仿宋_GB2312" w:hAnsi="仿宋_GB2312" w:cs="仿宋_GB2312"/>
        </w:rPr>
        <w:t>主要为贺街片区。严格保护和加强全市文物埋藏区的挖掘和保护工作，要严格执行文物保护管理规定，坚持先进行文物调查、勘探和考古发掘后建设原则，防止地下文物的建设性破坏，地下文物埋藏区域禁止除考古、科研等之外一切以营利性为主的开发建设。</w:t>
      </w:r>
    </w:p>
    <w:p>
      <w:pPr>
        <w:pStyle w:val="4"/>
        <w:numPr>
          <w:ilvl w:val="0"/>
          <w:numId w:val="11"/>
        </w:numPr>
        <w:tabs>
          <w:tab w:val="left" w:pos="360"/>
        </w:tabs>
        <w:spacing w:before="156" w:beforeLines="50" w:line="460" w:lineRule="exact"/>
        <w:ind w:left="0" w:firstLine="0"/>
        <w:rPr>
          <w:rFonts w:ascii="Times New Roman" w:hAnsi="Times New Roman"/>
        </w:rPr>
      </w:pPr>
      <w:bookmarkStart w:id="361" w:name="_Toc31019"/>
      <w:bookmarkStart w:id="362" w:name="_Toc213018271"/>
      <w:bookmarkStart w:id="363" w:name="_Toc18299"/>
      <w:bookmarkStart w:id="364" w:name="_Toc14178"/>
      <w:bookmarkStart w:id="365" w:name="_Toc1935"/>
      <w:bookmarkStart w:id="366" w:name="_Toc10386"/>
      <w:bookmarkStart w:id="367" w:name="_Toc6538"/>
      <w:bookmarkStart w:id="368" w:name="_Toc20060"/>
      <w:bookmarkStart w:id="369" w:name="_Toc1582_WPSOffice_Level2"/>
      <w:bookmarkStart w:id="370" w:name="_Toc5563"/>
      <w:bookmarkStart w:id="371" w:name="_Toc10893"/>
      <w:bookmarkStart w:id="372" w:name="_Toc3346"/>
      <w:r>
        <w:rPr>
          <w:rFonts w:hint="eastAsia" w:ascii="Times New Roman" w:hAnsi="Times New Roman"/>
        </w:rPr>
        <w:t>总体城市设计</w:t>
      </w:r>
      <w:bookmarkEnd w:id="361"/>
      <w:bookmarkEnd w:id="362"/>
      <w:bookmarkEnd w:id="363"/>
      <w:bookmarkEnd w:id="364"/>
      <w:bookmarkEnd w:id="365"/>
      <w:bookmarkEnd w:id="366"/>
      <w:bookmarkEnd w:id="367"/>
      <w:bookmarkEnd w:id="368"/>
      <w:bookmarkEnd w:id="369"/>
      <w:bookmarkEnd w:id="370"/>
      <w:bookmarkEnd w:id="371"/>
      <w:bookmarkEnd w:id="372"/>
    </w:p>
    <w:p>
      <w:pPr>
        <w:pStyle w:val="5"/>
        <w:numPr>
          <w:ilvl w:val="0"/>
          <w:numId w:val="5"/>
        </w:numPr>
        <w:spacing w:before="156" w:after="0" w:afterLines="0"/>
        <w:ind w:left="0" w:firstLine="640"/>
        <w:rPr>
          <w:lang w:val="zh-CN"/>
        </w:rPr>
      </w:pPr>
      <w:r>
        <w:rPr>
          <w:rFonts w:hint="eastAsia"/>
          <w:lang w:val="zh-CN"/>
        </w:rPr>
        <w:t>设计原则与思路</w:t>
      </w:r>
    </w:p>
    <w:p>
      <w:pPr>
        <w:ind w:firstLine="640"/>
        <w:rPr>
          <w:lang w:val="zh-CN"/>
        </w:rPr>
      </w:pPr>
      <w:r>
        <w:rPr>
          <w:rFonts w:hint="eastAsia"/>
          <w:lang w:val="zh-CN"/>
        </w:rPr>
        <w:t>凸显自然特征，创造“显山露水”的景观特色，深入发掘贺州自然山水和人文历史文化内涵，塑造具有浓厚文化品位的个性空间环境，</w:t>
      </w:r>
      <w:r>
        <w:rPr>
          <w:rFonts w:hint="eastAsia"/>
        </w:rPr>
        <w:t>整体</w:t>
      </w:r>
      <w:r>
        <w:rPr>
          <w:rFonts w:hint="eastAsia"/>
          <w:lang w:val="zh-CN"/>
        </w:rPr>
        <w:t>体现“生态水墨山水画”山水环境特色。</w:t>
      </w:r>
      <w:r>
        <w:rPr>
          <w:rFonts w:hint="eastAsia"/>
        </w:rPr>
        <w:t>重点</w:t>
      </w:r>
      <w:r>
        <w:rPr>
          <w:rFonts w:hint="eastAsia"/>
          <w:lang w:val="zh-CN"/>
        </w:rPr>
        <w:t>谋划城市景观，尊重城市独特喀斯特地貌，充分利用好“山、江、湖”的生态和景观资源，创造富有层次、多样统一的空间形象，形成“城在画中造”的城镇风貌，体现独特性、整体性、协调性，以人为本，创造宜人的空间尺度。</w:t>
      </w:r>
    </w:p>
    <w:p>
      <w:pPr>
        <w:pStyle w:val="5"/>
        <w:numPr>
          <w:ilvl w:val="0"/>
          <w:numId w:val="5"/>
        </w:numPr>
        <w:spacing w:before="156" w:after="0" w:afterLines="0"/>
        <w:ind w:left="0" w:firstLine="640"/>
        <w:rPr>
          <w:lang w:val="zh-CN"/>
        </w:rPr>
      </w:pPr>
      <w:r>
        <w:rPr>
          <w:rFonts w:hint="eastAsia"/>
          <w:lang w:val="zh-CN"/>
        </w:rPr>
        <w:t>总体城市设计结构</w:t>
      </w:r>
    </w:p>
    <w:p>
      <w:pPr>
        <w:ind w:firstLine="643"/>
        <w:rPr>
          <w:rFonts w:ascii="仿宋_GB2312" w:hAnsi="仿宋_GB2312" w:cs="仿宋_GB2312"/>
        </w:rPr>
      </w:pPr>
      <w:r>
        <w:rPr>
          <w:rFonts w:hint="eastAsia" w:ascii="仿宋_GB2312" w:hAnsi="仿宋_GB2312" w:cs="仿宋_GB2312"/>
          <w:b/>
          <w:bCs/>
        </w:rPr>
        <w:t>打造贺州市“风情潇贺古埠，山水养生寿城”总体风貌，构建“绿环绕城、一江两岸、锦绣六廊、三区辉映”的风貌空间结构。</w:t>
      </w:r>
      <w:r>
        <w:rPr>
          <w:rFonts w:hint="eastAsia" w:ascii="仿宋_GB2312" w:hAnsi="仿宋_GB2312" w:cs="仿宋_GB2312"/>
        </w:rPr>
        <w:t>绿环绕城即以金泰湖、永丰湖、贺江、马尾河等重要水系为载体，连接将军山、大钟山等山体，形成环绕贺州市城市核心第一圈层的生态绿环；一江两岸：贺江及贺江两岸景观系统，贺江两岸沿江100米范围内，建筑高度不宜超过24米；锦绣六廊：东融大道、光明大道、桂粤湘大道、潇贺大道、贺州大道、建设路等6条城市廊道，是集中展示的载体；三区辉映即西约街历史、临贺故城等组成历史风貌区、以贺州市老城区中心地为主的八步地域风貌区、以东融新区、江南新城、城东新区、平桂新区等组成的现代风貌区三类风貌区。</w:t>
      </w:r>
    </w:p>
    <w:p>
      <w:pPr>
        <w:pStyle w:val="5"/>
        <w:numPr>
          <w:ilvl w:val="0"/>
          <w:numId w:val="5"/>
        </w:numPr>
        <w:spacing w:before="156" w:after="0" w:afterLines="0"/>
        <w:ind w:left="0" w:firstLine="640"/>
        <w:rPr>
          <w:lang w:val="zh-CN"/>
        </w:rPr>
      </w:pPr>
      <w:r>
        <w:rPr>
          <w:rFonts w:hint="eastAsia"/>
          <w:lang w:val="zh-CN"/>
        </w:rPr>
        <w:t>城市设计指引</w:t>
      </w:r>
    </w:p>
    <w:p>
      <w:pPr>
        <w:ind w:firstLine="643"/>
        <w:rPr>
          <w:rFonts w:ascii="仿宋_GB2312" w:hAnsi="仿宋_GB2312" w:cs="仿宋_GB2312"/>
          <w:szCs w:val="32"/>
        </w:rPr>
      </w:pPr>
      <w:r>
        <w:rPr>
          <w:rFonts w:hint="eastAsia" w:ascii="仿宋_GB2312" w:hAnsi="仿宋_GB2312" w:cs="仿宋_GB2312"/>
          <w:b/>
          <w:szCs w:val="32"/>
        </w:rPr>
        <w:t>强化建筑高度分级与分片多层次管控。</w:t>
      </w:r>
      <w:r>
        <w:rPr>
          <w:rFonts w:hint="eastAsia" w:ascii="仿宋_GB2312" w:hAnsi="仿宋_GB2312" w:cs="仿宋_GB2312"/>
          <w:szCs w:val="32"/>
        </w:rPr>
        <w:t>根据中心城区建筑高度形态呈现“两轴交叉呈低谷，高层成峰向心聚，四周平缓外延展”的结构特点，将建筑高度划分为四级控制强度管控区域，同时兼顾分片区管控，结合旧城区、新城区、特殊区域等不同区域的特点，提出不同的调控要求。</w:t>
      </w:r>
    </w:p>
    <w:p>
      <w:pPr>
        <w:pStyle w:val="2"/>
        <w:ind w:firstLine="643"/>
        <w:rPr>
          <w:rFonts w:ascii="仿宋_GB2312" w:hAnsi="仿宋_GB2312" w:cs="仿宋_GB2312"/>
          <w:szCs w:val="32"/>
        </w:rPr>
      </w:pPr>
      <w:r>
        <w:rPr>
          <w:rFonts w:hint="eastAsia" w:ascii="仿宋_GB2312" w:hAnsi="仿宋_GB2312" w:cs="仿宋_GB2312"/>
          <w:b/>
          <w:bCs/>
          <w:szCs w:val="32"/>
        </w:rPr>
        <w:t>形成具有整体性和延续性的城市空间形态。</w:t>
      </w:r>
      <w:r>
        <w:rPr>
          <w:rFonts w:hint="eastAsia" w:ascii="仿宋_GB2312" w:hAnsi="仿宋_GB2312" w:cs="仿宋_GB2312"/>
          <w:szCs w:val="32"/>
        </w:rPr>
        <w:t>严控容积率形成“三级”开发强度控制区。</w:t>
      </w:r>
      <w:r>
        <w:rPr>
          <w:rFonts w:hint="eastAsia" w:ascii="仿宋_GB2312" w:hAnsi="仿宋_GB2312" w:cs="仿宋_GB2312"/>
          <w:b/>
          <w:bCs/>
          <w:szCs w:val="32"/>
        </w:rPr>
        <w:t>高强度建设区：</w:t>
      </w:r>
      <w:r>
        <w:rPr>
          <w:rFonts w:hint="eastAsia" w:ascii="仿宋_GB2312" w:hAnsi="仿宋_GB2312" w:cs="仿宋_GB2312"/>
          <w:szCs w:val="32"/>
        </w:rPr>
        <w:t>容积率不超过3.5，局部地块经论证后可根据功能及城市设计空间形态的需要适当突破，主要分布东融新区东融大道两侧区域、城东片区太白西路两侧区域、平桂新城部分区域。</w:t>
      </w:r>
      <w:r>
        <w:rPr>
          <w:rFonts w:hint="eastAsia" w:ascii="仿宋_GB2312" w:hAnsi="仿宋_GB2312" w:cs="仿宋_GB2312"/>
          <w:b/>
          <w:bCs/>
          <w:szCs w:val="32"/>
        </w:rPr>
        <w:t>中强度建设区：</w:t>
      </w:r>
      <w:r>
        <w:rPr>
          <w:rFonts w:hint="eastAsia" w:ascii="仿宋_GB2312" w:hAnsi="仿宋_GB2312" w:cs="仿宋_GB2312"/>
          <w:szCs w:val="32"/>
        </w:rPr>
        <w:t>容积率基本控制在2.0-3.0之间，主要分布在东融新区光明大道两侧区域、八步老城区建设路、八达路两侧区域，城东片区、江南新城贺州大道、光明大道两侧区域。</w:t>
      </w:r>
      <w:r>
        <w:rPr>
          <w:rFonts w:hint="eastAsia" w:ascii="仿宋_GB2312" w:hAnsi="仿宋_GB2312" w:cs="仿宋_GB2312"/>
          <w:b/>
          <w:bCs/>
          <w:szCs w:val="32"/>
        </w:rPr>
        <w:t>中低强度建设区：</w:t>
      </w:r>
      <w:r>
        <w:rPr>
          <w:rFonts w:hint="eastAsia" w:ascii="仿宋_GB2312" w:hAnsi="仿宋_GB2312" w:cs="仿宋_GB2312"/>
          <w:szCs w:val="32"/>
        </w:rPr>
        <w:t>容积率基本控制在2.0以下，主要分布紧邻贺江、马尾河两侧和其他区域。</w:t>
      </w:r>
    </w:p>
    <w:p>
      <w:pPr>
        <w:ind w:firstLine="643"/>
        <w:rPr>
          <w:rFonts w:ascii="仿宋_GB2312" w:hAnsi="仿宋_GB2312" w:cs="仿宋_GB2312"/>
          <w:szCs w:val="32"/>
        </w:rPr>
      </w:pPr>
      <w:bookmarkStart w:id="373" w:name="_Hlk101185363"/>
      <w:r>
        <w:rPr>
          <w:rFonts w:hint="eastAsia" w:ascii="仿宋_GB2312" w:hAnsi="仿宋_GB2312" w:cs="仿宋_GB2312"/>
          <w:b/>
          <w:szCs w:val="32"/>
        </w:rPr>
        <w:t>体现城市建筑与自然山水相融合的天际线</w:t>
      </w:r>
      <w:bookmarkEnd w:id="373"/>
      <w:r>
        <w:rPr>
          <w:rFonts w:hint="eastAsia" w:ascii="仿宋_GB2312" w:hAnsi="仿宋_GB2312" w:cs="仿宋_GB2312"/>
          <w:b/>
          <w:szCs w:val="32"/>
        </w:rPr>
        <w:t>。</w:t>
      </w:r>
      <w:bookmarkStart w:id="374" w:name="_Hlk101185398"/>
      <w:r>
        <w:rPr>
          <w:rFonts w:hint="eastAsia" w:ascii="仿宋_GB2312" w:hAnsi="仿宋_GB2312" w:cs="仿宋_GB2312"/>
          <w:szCs w:val="32"/>
        </w:rPr>
        <w:t>以“显山露水”为基本思路，贺州市城市轮廓线应以山体的轮廓曲线变化作为主旋律，城市建筑轮廓嵌套于背景山水轮廓之内，只在局部对山体轮廓进行衔接或拼接，延续贺州市传统的城市与山水相依相融的城市竖向轮廓特征</w:t>
      </w:r>
      <w:bookmarkEnd w:id="374"/>
      <w:r>
        <w:rPr>
          <w:rFonts w:hint="eastAsia" w:ascii="仿宋_GB2312" w:hAnsi="仿宋_GB2312" w:cs="仿宋_GB2312"/>
          <w:szCs w:val="32"/>
        </w:rPr>
        <w:t>。</w:t>
      </w:r>
    </w:p>
    <w:p>
      <w:pPr>
        <w:ind w:firstLine="643"/>
        <w:rPr>
          <w:rFonts w:ascii="仿宋_GB2312" w:hAnsi="仿宋_GB2312" w:cs="仿宋_GB2312"/>
          <w:b/>
          <w:szCs w:val="32"/>
        </w:rPr>
      </w:pPr>
      <w:r>
        <w:rPr>
          <w:rFonts w:hint="eastAsia" w:ascii="仿宋_GB2312" w:hAnsi="仿宋_GB2312" w:cs="仿宋_GB2312"/>
          <w:b/>
          <w:szCs w:val="32"/>
        </w:rPr>
        <w:t>展现沿山空间魅力特色。</w:t>
      </w:r>
      <w:r>
        <w:rPr>
          <w:rFonts w:hint="eastAsia"/>
        </w:rPr>
        <w:t>重点完善沿山区域与城市的联系空间。建筑体量不宜过大，预留山体纵深的生态和视线通廊；建筑高度和天际线应错落有致，不要遮挡主要山体；城市肌理顺应山体高程，与山体关系良好。建筑风貌也应体现沿山特色，充分利用山体背景，采用山城相融合的色彩和材质。</w:t>
      </w:r>
    </w:p>
    <w:p>
      <w:pPr>
        <w:ind w:firstLine="643"/>
        <w:rPr>
          <w:rFonts w:ascii="仿宋_GB2312" w:hAnsi="仿宋_GB2312" w:cs="仿宋_GB2312"/>
          <w:szCs w:val="32"/>
        </w:rPr>
      </w:pPr>
      <w:r>
        <w:rPr>
          <w:rFonts w:hint="eastAsia" w:ascii="仿宋_GB2312" w:hAnsi="仿宋_GB2312" w:cs="仿宋_GB2312"/>
          <w:b/>
          <w:szCs w:val="32"/>
        </w:rPr>
        <w:t>注重建筑与环境的整体性设计。</w:t>
      </w:r>
      <w:r>
        <w:rPr>
          <w:rFonts w:hint="eastAsia" w:ascii="仿宋_GB2312" w:hAnsi="仿宋_GB2312" w:cs="仿宋_GB2312"/>
          <w:szCs w:val="32"/>
        </w:rPr>
        <w:t>强化东融新城片区、城东新城片区、江南新城片区、八步老城片区四大片区城市设计引导。东融新城片区形成风貌三级结构，一级结构为核心风貌轴、二级结构为重要公共空间、三级结构为次级公共空间，塑造时尚贺州；城东新城片区形成“一湖三轴”的风貌结构，一湖为爱莲湖，三轴为八达路风貌轴、太白西路风貌轴和桃源路风貌轴，塑造宜居贺州；江南新城片区形成“多组团”的风貌结构，包括江南田园居住组团、江南服务中心组团、园博园组团、三家滩湿地生态组团等多个建设组团，塑造山水贺州；八步老城片区体现“民国+本土”两大风貌结构，包括西约街民国风格建筑风貌和河边巷本土传统建筑风貌，塑造人文贺州。</w:t>
      </w:r>
    </w:p>
    <w:p>
      <w:pPr>
        <w:ind w:firstLine="643"/>
        <w:rPr>
          <w:rFonts w:ascii="仿宋_GB2312" w:hAnsi="仿宋_GB2312" w:cs="仿宋_GB2312"/>
          <w:szCs w:val="32"/>
        </w:rPr>
      </w:pPr>
      <w:r>
        <w:rPr>
          <w:rFonts w:hint="eastAsia" w:ascii="仿宋_GB2312" w:hAnsi="仿宋_GB2312" w:cs="仿宋_GB2312"/>
          <w:b/>
          <w:szCs w:val="32"/>
        </w:rPr>
        <w:t>建立标志性景观节点，严格控制周边地区建设。</w:t>
      </w:r>
      <w:r>
        <w:rPr>
          <w:rFonts w:hint="eastAsia" w:ascii="仿宋_GB2312" w:hAnsi="仿宋_GB2312" w:cs="仿宋_GB2312"/>
          <w:szCs w:val="32"/>
        </w:rPr>
        <w:t>结合大钟山公园、灵峰山等城市重要地标及主要眺望点，控制若干重要视线廊道。在东融新城片区、城东新城片区、平桂新城片区、江南新城片区、贺江滨江等地区形成城市标志性景观节点，严格控制爱莲湖、永丰湖、金泰湖等主要景观开敞空间周围建设界面的连续性，形成优美的天际轮廓线。</w:t>
      </w:r>
    </w:p>
    <w:p>
      <w:pPr>
        <w:ind w:firstLine="643"/>
        <w:rPr>
          <w:rFonts w:ascii="仿宋_GB2312" w:hAnsi="仿宋_GB2312" w:cs="仿宋_GB2312"/>
          <w:szCs w:val="32"/>
        </w:rPr>
      </w:pPr>
      <w:r>
        <w:rPr>
          <w:rFonts w:hint="eastAsia" w:ascii="仿宋_GB2312" w:hAnsi="仿宋_GB2312" w:cs="仿宋_GB2312"/>
          <w:b/>
          <w:szCs w:val="32"/>
        </w:rPr>
        <w:t>强化线性景观界面，塑造河道、街道宜居空间。</w:t>
      </w:r>
      <w:r>
        <w:rPr>
          <w:rFonts w:hint="eastAsia" w:ascii="仿宋_GB2312" w:hAnsi="仿宋_GB2312" w:cs="仿宋_GB2312"/>
          <w:szCs w:val="32"/>
        </w:rPr>
        <w:t>以贺江、马尾河为骨架，重点管控城市开发边界内主要景观河道两岸空间尺度关系，彰显城市滨水特征。强化河流交汇处、岸线转折处的独特地域景观设计。贺州大道、潇贺大道、东融大道、桂粤湘大道、光明大道等主要道路以及贵广高铁等重要交通廊道的景观界面控制，改善快速交通的视觉感知体验。重塑街道空间，以慢行网络建设为重点构建整体连续的公共活动路径。</w:t>
      </w:r>
    </w:p>
    <w:p>
      <w:pPr>
        <w:ind w:firstLine="643"/>
        <w:rPr>
          <w:rFonts w:ascii="仿宋_GB2312" w:hAnsi="仿宋_GB2312" w:cs="仿宋_GB2312"/>
          <w:szCs w:val="32"/>
        </w:rPr>
      </w:pPr>
      <w:r>
        <w:rPr>
          <w:rFonts w:hint="eastAsia" w:ascii="仿宋_GB2312" w:hAnsi="仿宋_GB2312" w:cs="仿宋_GB2312"/>
          <w:b/>
          <w:szCs w:val="32"/>
        </w:rPr>
        <w:t>优化重点空间秩序，尽显宜居城市肌理。</w:t>
      </w:r>
      <w:r>
        <w:rPr>
          <w:rFonts w:hint="eastAsia" w:ascii="仿宋_GB2312" w:hAnsi="仿宋_GB2312" w:cs="仿宋_GB2312"/>
          <w:szCs w:val="32"/>
        </w:rPr>
        <w:t>控制城市基准高度与标识高度，对重点地区空间尺度标识性和一般地区空间尺度整体性进行差别化引导。突出公共活动中心、滨水凸岸、河流交汇处、视线廊道焦点、人流聚集区等区域的空间景观设计。保护西约街等城市空间肌理，历史文化风貌区、风貌保护街坊严格限制街坊和地块合并，强化历史环境地区和城市公共空间、重大功能设施之间空间肌理的延续性，促进历史环境地区的活化再生。倡导开放式围合街区，加强对城市街坊尺度与规模的控制，形成尺度宜人的慢行环境。</w:t>
      </w:r>
    </w:p>
    <w:p>
      <w:pPr>
        <w:ind w:firstLine="640"/>
        <w:rPr>
          <w:lang w:val="zh-CN"/>
        </w:rPr>
      </w:pPr>
      <w:r>
        <w:rPr>
          <w:lang w:val="zh-CN"/>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r>
        <w:fldChar w:fldCharType="begin"/>
      </w:r>
      <w:r>
        <w:instrText xml:space="preserve"> HYPERLINK \l "_Toc18777" </w:instrText>
      </w:r>
      <w:r>
        <w:fldChar w:fldCharType="separate"/>
      </w:r>
      <w:bookmarkStart w:id="375" w:name="_Toc6121_WPSOffice_Level1"/>
      <w:bookmarkStart w:id="376" w:name="_Toc213018272"/>
      <w:r>
        <w:rPr>
          <w:rFonts w:hint="eastAsia" w:ascii="方正小标宋_GBK" w:hAnsi="方正小标宋_GBK" w:cs="方正小标宋_GBK"/>
          <w:szCs w:val="36"/>
          <w:lang w:val="zh-CN"/>
        </w:rPr>
        <w:t>资源统筹保护与利用</w:t>
      </w:r>
      <w:bookmarkEnd w:id="375"/>
      <w:bookmarkEnd w:id="376"/>
      <w:r>
        <w:rPr>
          <w:rFonts w:hint="eastAsia" w:ascii="方正小标宋_GBK" w:hAnsi="方正小标宋_GBK" w:cs="方正小标宋_GBK"/>
          <w:szCs w:val="36"/>
          <w:lang w:val="zh-CN"/>
        </w:rPr>
        <w:fldChar w:fldCharType="end"/>
      </w:r>
      <w:bookmarkEnd w:id="230"/>
      <w:bookmarkEnd w:id="231"/>
      <w:bookmarkEnd w:id="232"/>
      <w:bookmarkEnd w:id="233"/>
      <w:bookmarkEnd w:id="234"/>
      <w:bookmarkEnd w:id="235"/>
      <w:bookmarkEnd w:id="236"/>
      <w:bookmarkEnd w:id="237"/>
    </w:p>
    <w:p>
      <w:pPr>
        <w:pStyle w:val="4"/>
        <w:numPr>
          <w:ilvl w:val="0"/>
          <w:numId w:val="12"/>
        </w:numPr>
        <w:tabs>
          <w:tab w:val="left" w:pos="360"/>
        </w:tabs>
        <w:spacing w:before="156" w:beforeLines="50" w:line="460" w:lineRule="exact"/>
        <w:ind w:left="0" w:firstLine="0"/>
        <w:rPr>
          <w:rFonts w:ascii="Times New Roman" w:hAnsi="Times New Roman"/>
        </w:rPr>
      </w:pPr>
      <w:bookmarkStart w:id="377" w:name="_Toc23541_WPSOffice_Level2"/>
      <w:bookmarkStart w:id="378" w:name="_Toc18030"/>
      <w:bookmarkStart w:id="379" w:name="_Toc18097"/>
      <w:bookmarkStart w:id="380" w:name="_Toc12670"/>
      <w:bookmarkStart w:id="381" w:name="_Toc3146"/>
      <w:bookmarkStart w:id="382" w:name="_Toc213018273"/>
      <w:bookmarkStart w:id="383" w:name="_Toc26302"/>
      <w:bookmarkStart w:id="384" w:name="_Toc12558"/>
      <w:bookmarkStart w:id="385" w:name="_Toc17267"/>
      <w:bookmarkStart w:id="386" w:name="_Toc1939"/>
      <w:bookmarkStart w:id="387" w:name="_Toc2102"/>
      <w:r>
        <w:rPr>
          <w:rFonts w:hint="eastAsia" w:ascii="Times New Roman" w:hAnsi="Times New Roman"/>
        </w:rPr>
        <w:t>水资源保护与利用</w:t>
      </w:r>
      <w:bookmarkEnd w:id="377"/>
      <w:bookmarkEnd w:id="378"/>
      <w:bookmarkEnd w:id="379"/>
      <w:bookmarkEnd w:id="380"/>
      <w:bookmarkEnd w:id="381"/>
      <w:bookmarkEnd w:id="382"/>
      <w:bookmarkEnd w:id="383"/>
      <w:bookmarkEnd w:id="384"/>
      <w:bookmarkEnd w:id="385"/>
      <w:bookmarkEnd w:id="386"/>
      <w:bookmarkEnd w:id="387"/>
    </w:p>
    <w:p>
      <w:pPr>
        <w:pStyle w:val="5"/>
        <w:numPr>
          <w:ilvl w:val="0"/>
          <w:numId w:val="5"/>
        </w:numPr>
        <w:spacing w:before="156" w:after="0" w:afterLines="0"/>
        <w:ind w:left="0" w:firstLine="640"/>
        <w:rPr>
          <w:lang w:val="zh-CN"/>
        </w:rPr>
      </w:pPr>
      <w:r>
        <w:rPr>
          <w:rFonts w:hint="eastAsia"/>
          <w:lang w:val="zh-CN"/>
        </w:rPr>
        <w:t>水资源总量和强度</w:t>
      </w:r>
    </w:p>
    <w:p>
      <w:pPr>
        <w:ind w:firstLine="643"/>
        <w:rPr>
          <w:rFonts w:ascii="仿宋_GB2312" w:hAnsi="仿宋_GB2312" w:cs="仿宋_GB2312"/>
          <w:b/>
          <w:szCs w:val="30"/>
          <w:u w:val="single"/>
        </w:rPr>
      </w:pPr>
      <w:r>
        <w:rPr>
          <w:rFonts w:hint="eastAsia" w:ascii="仿宋_GB2312" w:hAnsi="仿宋_GB2312" w:cs="仿宋_GB2312"/>
          <w:b/>
          <w:szCs w:val="30"/>
        </w:rPr>
        <w:t>严格控制用水总量。</w:t>
      </w:r>
      <w:r>
        <w:rPr>
          <w:rFonts w:hint="eastAsia" w:ascii="仿宋_GB2312" w:hAnsi="仿宋_GB2312" w:cs="仿宋_GB2312"/>
          <w:szCs w:val="30"/>
        </w:rPr>
        <w:t>坚持“四水四定”，实行用水总量和用水强度双控制，促进全市人口、经济与水资源相协调。加快农业、工业、城镇节水改造，转变农业用水方式，建设节水灌溉设施，提高农业用地用水效率。</w:t>
      </w:r>
      <w:r>
        <w:rPr>
          <w:rFonts w:hint="eastAsia" w:ascii="仿宋_GB2312" w:hAnsi="仿宋_GB2312" w:cs="仿宋_GB2312"/>
          <w:b/>
          <w:szCs w:val="30"/>
          <w:u w:val="single"/>
        </w:rPr>
        <w:t>2025年用水总量控制在16.50亿立方米，2035年用水总量以上级下达任务为准。非常规用水利用量达以上级下达任务为准。</w:t>
      </w:r>
    </w:p>
    <w:p>
      <w:pPr>
        <w:snapToGrid w:val="0"/>
        <w:ind w:firstLine="643"/>
        <w:rPr>
          <w:rFonts w:ascii="仿宋_GB2312" w:hAnsi="仿宋_GB2312" w:cs="仿宋_GB2312"/>
          <w:szCs w:val="30"/>
        </w:rPr>
      </w:pPr>
      <w:r>
        <w:rPr>
          <w:rFonts w:hint="eastAsia" w:ascii="仿宋_GB2312" w:hAnsi="仿宋_GB2312" w:cs="仿宋_GB2312"/>
          <w:b/>
          <w:szCs w:val="30"/>
        </w:rPr>
        <w:t>提高水资源利用效率。</w:t>
      </w:r>
      <w:r>
        <w:rPr>
          <w:rFonts w:hint="eastAsia" w:ascii="仿宋_GB2312" w:hAnsi="仿宋_GB2312" w:cs="仿宋_GB2312"/>
          <w:szCs w:val="30"/>
        </w:rPr>
        <w:t>全面建设节水型社会，持续推进农业和工业节水提效，重点建设广西潇贺走廊灌区、昭平县周家灌区、八步区合面狮灌区等大中型灌区的节水配套改造工程、田间规模化高效节水灌溉工程，提升农业灌溉供水保障，降低单位面积灌溉用水量。严格限制高耗水产业准入，促进工业节水和水循环综合利用。</w:t>
      </w:r>
    </w:p>
    <w:p>
      <w:pPr>
        <w:pStyle w:val="5"/>
        <w:numPr>
          <w:ilvl w:val="0"/>
          <w:numId w:val="5"/>
        </w:numPr>
        <w:spacing w:before="156" w:after="0" w:afterLines="0"/>
        <w:ind w:left="0" w:firstLine="640"/>
        <w:rPr>
          <w:lang w:val="zh-CN"/>
        </w:rPr>
      </w:pPr>
      <w:r>
        <w:rPr>
          <w:rFonts w:hint="eastAsia"/>
          <w:lang w:val="zh-CN"/>
        </w:rPr>
        <w:t>水资源供需平衡</w:t>
      </w:r>
    </w:p>
    <w:p>
      <w:pPr>
        <w:widowControl/>
        <w:ind w:firstLine="643"/>
        <w:rPr>
          <w:rFonts w:ascii="仿宋_GB2312" w:hAnsi="仿宋_GB2312" w:cs="仿宋_GB2312"/>
        </w:rPr>
      </w:pPr>
      <w:r>
        <w:rPr>
          <w:rFonts w:hint="eastAsia" w:ascii="仿宋_GB2312" w:hAnsi="仿宋_GB2312" w:cs="仿宋_GB2312"/>
          <w:b/>
          <w:bCs/>
          <w:szCs w:val="30"/>
        </w:rPr>
        <w:t>完善水资源配置格局。</w:t>
      </w:r>
      <w:r>
        <w:rPr>
          <w:rFonts w:hint="eastAsia" w:ascii="仿宋_GB2312" w:hAnsi="仿宋_GB2312" w:cs="仿宋_GB2312"/>
          <w:kern w:val="0"/>
          <w:szCs w:val="30"/>
          <w:lang w:bidi="ar"/>
        </w:rPr>
        <w:t>重点实施广西潇贺走廊水资源配置工程，新建</w:t>
      </w:r>
      <w:r>
        <w:rPr>
          <w:rFonts w:hint="eastAsia" w:ascii="仿宋_GB2312" w:hAnsi="仿宋_GB2312" w:cs="仿宋_GB2312"/>
          <w:szCs w:val="30"/>
        </w:rPr>
        <w:t>与扩建</w:t>
      </w:r>
      <w:r>
        <w:rPr>
          <w:rFonts w:hint="eastAsia" w:ascii="仿宋_GB2312" w:hAnsi="仿宋_GB2312" w:cs="仿宋_GB2312"/>
          <w:kern w:val="0"/>
          <w:szCs w:val="30"/>
          <w:lang w:bidi="ar"/>
        </w:rPr>
        <w:t>广西潇贺走廊水资源配置工程、龟石水库、涝溪水库、十八山水库、大湾水库等重点水源工程</w:t>
      </w:r>
      <w:r>
        <w:rPr>
          <w:rFonts w:hint="eastAsia" w:ascii="仿宋_GB2312" w:hAnsi="仿宋_GB2312" w:cs="仿宋_GB2312"/>
          <w:szCs w:val="30"/>
        </w:rPr>
        <w:t>，加强城镇应急备用和第二水源建设，有效增加供水。积极保护生态环境等各种工程与非工程措施，对多种可利用的水源，在区域间和各用水部门间进行水资源合理配置。提升水资源开发利用程度、调节能力和供水保障程度，基本满足各类用水需求，为经济社会可持续发展提供保障。</w:t>
      </w:r>
    </w:p>
    <w:p>
      <w:pPr>
        <w:pStyle w:val="5"/>
        <w:numPr>
          <w:ilvl w:val="0"/>
          <w:numId w:val="5"/>
        </w:numPr>
        <w:spacing w:before="156" w:after="0" w:afterLines="0"/>
        <w:ind w:left="0" w:firstLine="640"/>
        <w:rPr>
          <w:lang w:val="zh-CN"/>
        </w:rPr>
      </w:pPr>
      <w:r>
        <w:rPr>
          <w:rFonts w:hint="eastAsia"/>
          <w:lang w:val="zh-CN"/>
        </w:rPr>
        <w:t>水安全</w:t>
      </w:r>
    </w:p>
    <w:p>
      <w:pPr>
        <w:widowControl/>
        <w:ind w:firstLine="643"/>
        <w:rPr>
          <w:rFonts w:ascii="仿宋_GB2312" w:hAnsi="仿宋_GB2312" w:cs="仿宋_GB2312"/>
          <w:kern w:val="0"/>
          <w:szCs w:val="30"/>
          <w:lang w:bidi="ar"/>
        </w:rPr>
      </w:pPr>
      <w:r>
        <w:rPr>
          <w:rFonts w:hint="eastAsia" w:ascii="仿宋_GB2312" w:hAnsi="仿宋_GB2312" w:cs="仿宋_GB2312"/>
          <w:b/>
          <w:bCs/>
          <w:szCs w:val="30"/>
        </w:rPr>
        <w:t>加强水源涵养。</w:t>
      </w:r>
      <w:r>
        <w:rPr>
          <w:rFonts w:hint="eastAsia" w:ascii="仿宋_GB2312" w:hAnsi="仿宋_GB2312" w:cs="仿宋_GB2312"/>
          <w:kern w:val="0"/>
          <w:szCs w:val="30"/>
          <w:lang w:bidi="ar"/>
        </w:rPr>
        <w:t>维护海洋山—都庞岭—花山、贺州市东北部山地、湘江一桂江流域水源涵养功能。重点改善贺江、桂江等江河干流区域河流廊道生态功能；实施贺街河湖水系连通工程，保障主要河流湖泊生态需水；加强西岭山涝溪水源、富川龟石水库、昭平一级饮用水水源地等水源地保护，提高水源涵养能力，加大生态保护力度和水生态文明建设工程。</w:t>
      </w:r>
    </w:p>
    <w:p>
      <w:pPr>
        <w:widowControl/>
        <w:ind w:firstLine="643"/>
        <w:rPr>
          <w:rFonts w:ascii="仿宋_GB2312" w:hAnsi="仿宋_GB2312" w:cs="仿宋_GB2312"/>
        </w:rPr>
      </w:pPr>
      <w:r>
        <w:rPr>
          <w:rFonts w:hint="eastAsia" w:ascii="仿宋_GB2312" w:hAnsi="仿宋_GB2312" w:cs="仿宋_GB2312"/>
          <w:b/>
          <w:bCs/>
          <w:szCs w:val="30"/>
        </w:rPr>
        <w:t>提高水空间管控能力。</w:t>
      </w:r>
      <w:r>
        <w:rPr>
          <w:rFonts w:hint="eastAsia" w:ascii="仿宋_GB2312" w:hAnsi="仿宋_GB2312" w:cs="仿宋_GB2312"/>
          <w:bCs/>
          <w:szCs w:val="30"/>
        </w:rPr>
        <w:t>强化江河湖库管控，依法划定河湖管理范围，稳步推进水资源产权登记，强化水空间管控。落实“河长制”“湖长制”，强化源头控制，以流域为单元保持贺江水系、桂江水系、龟石水库、合面狮水库等自然河湖水系格局基本不变。严格控制河湖边界线和湿地保护线，严防城乡建设、农林垦种侵占河湖水系，全面提升全市江河湖库管理水平。严格保护和加快修复水生态系统，加强水源涵养区、江河源头区和湿地保护，开展水源污染防治，推进水功能区水质达标</w:t>
      </w:r>
      <w:r>
        <w:rPr>
          <w:rFonts w:hint="eastAsia" w:ascii="仿宋_GB2312" w:hAnsi="仿宋_GB2312" w:cs="仿宋_GB2312"/>
          <w:kern w:val="0"/>
          <w:szCs w:val="30"/>
          <w:lang w:bidi="ar"/>
        </w:rPr>
        <w:t>。</w:t>
      </w:r>
    </w:p>
    <w:p>
      <w:pPr>
        <w:pStyle w:val="4"/>
        <w:numPr>
          <w:ilvl w:val="0"/>
          <w:numId w:val="12"/>
        </w:numPr>
        <w:tabs>
          <w:tab w:val="left" w:pos="360"/>
        </w:tabs>
        <w:spacing w:before="156" w:beforeLines="50" w:line="460" w:lineRule="exact"/>
        <w:ind w:left="0" w:firstLine="0"/>
        <w:rPr>
          <w:rFonts w:ascii="Times New Roman" w:hAnsi="Times New Roman"/>
        </w:rPr>
      </w:pPr>
      <w:bookmarkStart w:id="388" w:name="_Toc1349"/>
      <w:bookmarkStart w:id="389" w:name="_Toc11857"/>
      <w:bookmarkStart w:id="390" w:name="_Toc14337"/>
      <w:bookmarkStart w:id="391" w:name="_Toc15659"/>
      <w:bookmarkStart w:id="392" w:name="_Toc27237"/>
      <w:bookmarkStart w:id="393" w:name="_Toc20476"/>
      <w:bookmarkStart w:id="394" w:name="_Toc30048"/>
      <w:bookmarkStart w:id="395" w:name="_Toc12915"/>
      <w:bookmarkStart w:id="396" w:name="_Toc4026"/>
      <w:bookmarkStart w:id="397" w:name="_Toc18303_WPSOffice_Level2"/>
      <w:bookmarkStart w:id="398" w:name="_Toc213018274"/>
      <w:r>
        <w:rPr>
          <w:rFonts w:hint="eastAsia" w:ascii="Times New Roman" w:hAnsi="Times New Roman"/>
        </w:rPr>
        <w:t>林地资源</w:t>
      </w:r>
      <w:bookmarkEnd w:id="388"/>
      <w:bookmarkEnd w:id="389"/>
      <w:bookmarkEnd w:id="390"/>
      <w:bookmarkEnd w:id="391"/>
      <w:bookmarkEnd w:id="392"/>
      <w:bookmarkEnd w:id="393"/>
      <w:bookmarkEnd w:id="394"/>
      <w:bookmarkEnd w:id="395"/>
      <w:r>
        <w:rPr>
          <w:rFonts w:hint="eastAsia" w:ascii="Times New Roman" w:hAnsi="Times New Roman"/>
        </w:rPr>
        <w:t>保护与利用</w:t>
      </w:r>
      <w:bookmarkEnd w:id="396"/>
      <w:bookmarkEnd w:id="397"/>
      <w:bookmarkEnd w:id="398"/>
    </w:p>
    <w:p>
      <w:pPr>
        <w:pStyle w:val="5"/>
        <w:numPr>
          <w:ilvl w:val="0"/>
          <w:numId w:val="5"/>
        </w:numPr>
        <w:spacing w:before="156" w:after="0" w:afterLines="0"/>
        <w:ind w:left="0" w:firstLine="640"/>
        <w:rPr>
          <w:lang w:val="zh-CN"/>
        </w:rPr>
      </w:pPr>
      <w:r>
        <w:rPr>
          <w:rFonts w:hint="eastAsia"/>
          <w:lang w:val="zh-CN"/>
        </w:rPr>
        <w:t>林地保护</w:t>
      </w:r>
    </w:p>
    <w:p>
      <w:pPr>
        <w:widowControl/>
        <w:ind w:firstLine="643"/>
        <w:rPr>
          <w:rFonts w:ascii="仿宋_GB2312" w:hAnsi="仿宋_GB2312" w:cs="仿宋_GB2312"/>
          <w:szCs w:val="30"/>
        </w:rPr>
      </w:pPr>
      <w:r>
        <w:rPr>
          <w:rFonts w:hint="eastAsia" w:ascii="仿宋_GB2312" w:hAnsi="仿宋_GB2312" w:cs="仿宋_GB2312"/>
          <w:b/>
          <w:szCs w:val="30"/>
        </w:rPr>
        <w:t>落实林地保护任务，提高林地质量。</w:t>
      </w:r>
      <w:r>
        <w:rPr>
          <w:rFonts w:hint="eastAsia" w:ascii="仿宋_GB2312" w:hAnsi="仿宋_GB2312" w:cs="仿宋_GB2312"/>
          <w:szCs w:val="30"/>
        </w:rPr>
        <w:t>实行占用林地总量控制，严格控制林地转化为其他用途土地，严格控制占用公益林、天然林和蓄积量高的林地，实行占用林地总量控制。推动</w:t>
      </w:r>
      <w:r>
        <w:rPr>
          <w:rFonts w:hint="eastAsia" w:ascii="仿宋_GB2312" w:hAnsi="仿宋_GB2312" w:cs="仿宋_GB2312"/>
          <w:szCs w:val="30"/>
          <w:lang w:bidi="ar"/>
        </w:rPr>
        <w:t>贺江、桂江等江河主要干流沿江两岸，龟石水库、合面狮水库等生态重要区域的桉树纯林改造工程，</w:t>
      </w:r>
      <w:r>
        <w:rPr>
          <w:rFonts w:hint="eastAsia" w:ascii="仿宋_GB2312" w:hAnsi="仿宋_GB2312" w:cs="仿宋_GB2312"/>
          <w:szCs w:val="30"/>
        </w:rPr>
        <w:t>提升森林生态系统稳定性和生态服务功能</w:t>
      </w:r>
      <w:r>
        <w:rPr>
          <w:rFonts w:hint="eastAsia" w:ascii="仿宋_GB2312" w:hAnsi="仿宋_GB2312" w:cs="仿宋_GB2312"/>
          <w:szCs w:val="30"/>
          <w:lang w:bidi="ar"/>
        </w:rPr>
        <w:t>。</w:t>
      </w:r>
      <w:r>
        <w:rPr>
          <w:rFonts w:hint="eastAsia" w:ascii="仿宋_GB2312" w:hAnsi="仿宋_GB2312" w:cs="仿宋_GB2312"/>
          <w:szCs w:val="30"/>
        </w:rPr>
        <w:t>实行年度造林计划任务带位置上报、带图斑下达，主要在昭平县桂江沿岸峰林谷地、钟山县同古至珊瑚镇一带峰林谷地、富川瑶族自治县南部山地丘陵区等区域稳步有序推进造林绿化工程。加大姑婆山林场、大桂山林场、黄洞林场和大脑山林场等重点生态功能区及生态脆弱区的森林生态系统修复力度，改善森林结构，提升森林质量。统筹安排国有农林场空间布局，做好涉及国有农林场的各级各类规划编制，充分保障其合理建设用地需求，推动已纳入城镇开发边界和村庄建设边界土地高效利用，促进国有资产保值增值。</w:t>
      </w:r>
    </w:p>
    <w:p>
      <w:pPr>
        <w:widowControl/>
        <w:ind w:firstLine="643"/>
        <w:rPr>
          <w:rFonts w:ascii="仿宋_GB2312" w:hAnsi="仿宋_GB2312" w:cs="仿宋_GB2312"/>
          <w:szCs w:val="30"/>
        </w:rPr>
      </w:pPr>
      <w:r>
        <w:rPr>
          <w:rFonts w:hint="eastAsia" w:ascii="仿宋_GB2312" w:hAnsi="仿宋_GB2312" w:cs="仿宋_GB2312"/>
          <w:b/>
          <w:szCs w:val="30"/>
        </w:rPr>
        <w:t>分级保护林地资源，严控林地转为其他用途土地。</w:t>
      </w:r>
      <w:r>
        <w:rPr>
          <w:rFonts w:hint="eastAsia" w:ascii="仿宋_GB2312" w:hAnsi="仿宋_GB2312" w:cs="仿宋_GB2312"/>
          <w:szCs w:val="30"/>
        </w:rPr>
        <w:t>一级林地实施特殊保护，实行全面封禁，禁止人为干扰和开展生产经营性活动，禁止改变林地用途。二级林地实施严格保护，局部封禁管护，改善林分质量和森林健康状况，禁止商业性采伐。除必需的重点工程建设占用外，不得以其他任何形式改变林地用途，禁止建设工程占用森林，其他地类严格控制。三级林地实施重点保护，严格控制占用森林。适度保障能源、交通、水利等基础设施和城乡建设用地，从严控制商业性经营设施建设用地，限制勘查、开采矿藏和其他项目用地。四级林地实行一般性保护。禁止非法改变林地用途，限制采石取土等用地。推行农林复合经营，在法律允许的范围内合理安排各类生产性活动，最大限度地挖掘林地生产力。</w:t>
      </w:r>
    </w:p>
    <w:p>
      <w:pPr>
        <w:pStyle w:val="5"/>
        <w:numPr>
          <w:ilvl w:val="0"/>
          <w:numId w:val="5"/>
        </w:numPr>
        <w:spacing w:before="156" w:after="0" w:afterLines="0"/>
        <w:ind w:left="0" w:firstLine="640"/>
        <w:rPr>
          <w:lang w:val="zh-CN"/>
        </w:rPr>
      </w:pPr>
      <w:r>
        <w:rPr>
          <w:rFonts w:hint="eastAsia"/>
          <w:lang w:val="zh-CN"/>
        </w:rPr>
        <w:t>林地利用</w:t>
      </w:r>
    </w:p>
    <w:p>
      <w:pPr>
        <w:pStyle w:val="2"/>
        <w:ind w:firstLine="643"/>
        <w:rPr>
          <w:rFonts w:ascii="仿宋_GB2312" w:hAnsi="仿宋_GB2312" w:cs="仿宋_GB2312"/>
          <w:szCs w:val="30"/>
        </w:rPr>
      </w:pPr>
      <w:r>
        <w:rPr>
          <w:rFonts w:hint="eastAsia" w:ascii="仿宋_GB2312" w:hAnsi="仿宋_GB2312" w:cs="仿宋_GB2312"/>
          <w:b/>
          <w:szCs w:val="30"/>
        </w:rPr>
        <w:t>促进林地资源合理利用。</w:t>
      </w:r>
      <w:r>
        <w:rPr>
          <w:rFonts w:hint="eastAsia" w:ascii="仿宋_GB2312" w:hAnsi="仿宋_GB2312" w:cs="仿宋_GB2312"/>
          <w:szCs w:val="30"/>
        </w:rPr>
        <w:t>有序发展特色经济林和林下经济，推行有机和亲近自然绿色种植、养殖，引导林下经济产业合理布局。推动木材加工工业集群发展，重点发展高端家具产品制造产业，积极引导粤港澳大湾区在贺州市共建“飞地经济”林业产业园区、林产品出口加工基地等，提高林木产品附加值。建设森林康养旅游基地，重点发展生态旅游、健康旅游、休闲康养产业，加快打造森林康养旅游基地，推进林业一二三产融合发展。</w:t>
      </w:r>
    </w:p>
    <w:p>
      <w:pPr>
        <w:pStyle w:val="4"/>
        <w:numPr>
          <w:ilvl w:val="0"/>
          <w:numId w:val="12"/>
        </w:numPr>
        <w:tabs>
          <w:tab w:val="left" w:pos="360"/>
        </w:tabs>
        <w:spacing w:before="156" w:beforeLines="50" w:line="460" w:lineRule="exact"/>
        <w:ind w:left="0" w:firstLine="0"/>
        <w:rPr>
          <w:rFonts w:ascii="Times New Roman" w:hAnsi="Times New Roman"/>
        </w:rPr>
      </w:pPr>
      <w:bookmarkStart w:id="399" w:name="_Toc8474_WPSOffice_Level2"/>
      <w:bookmarkStart w:id="400" w:name="_Toc4279"/>
      <w:bookmarkStart w:id="401" w:name="_Toc16606"/>
      <w:bookmarkStart w:id="402" w:name="_Toc8804"/>
      <w:bookmarkStart w:id="403" w:name="_Toc20328"/>
      <w:bookmarkStart w:id="404" w:name="_Toc19693"/>
      <w:bookmarkStart w:id="405" w:name="_Toc22680"/>
      <w:bookmarkStart w:id="406" w:name="_Toc553"/>
      <w:bookmarkStart w:id="407" w:name="_Toc25451"/>
      <w:bookmarkStart w:id="408" w:name="_Toc213018275"/>
      <w:bookmarkStart w:id="409" w:name="_Toc13502"/>
      <w:bookmarkStart w:id="410" w:name="_Toc16657"/>
      <w:r>
        <w:rPr>
          <w:rFonts w:hint="eastAsia" w:ascii="Times New Roman" w:hAnsi="Times New Roman"/>
        </w:rPr>
        <w:t>建设用地节约集约和高效配置</w:t>
      </w:r>
      <w:bookmarkEnd w:id="399"/>
      <w:bookmarkEnd w:id="400"/>
      <w:bookmarkEnd w:id="401"/>
      <w:bookmarkEnd w:id="402"/>
      <w:bookmarkEnd w:id="403"/>
      <w:bookmarkEnd w:id="404"/>
      <w:bookmarkEnd w:id="405"/>
      <w:bookmarkEnd w:id="406"/>
      <w:bookmarkEnd w:id="407"/>
      <w:bookmarkEnd w:id="408"/>
      <w:bookmarkEnd w:id="409"/>
      <w:bookmarkEnd w:id="410"/>
    </w:p>
    <w:p>
      <w:pPr>
        <w:pStyle w:val="5"/>
        <w:numPr>
          <w:ilvl w:val="0"/>
          <w:numId w:val="5"/>
        </w:numPr>
        <w:spacing w:before="156" w:after="0" w:afterLines="0"/>
        <w:ind w:left="0" w:firstLine="640"/>
        <w:rPr>
          <w:lang w:val="zh-CN"/>
        </w:rPr>
      </w:pPr>
      <w:r>
        <w:rPr>
          <w:rFonts w:hint="eastAsia"/>
          <w:lang w:val="zh-CN"/>
        </w:rPr>
        <w:t>新增建设用地</w:t>
      </w:r>
    </w:p>
    <w:p>
      <w:pPr>
        <w:snapToGrid w:val="0"/>
        <w:ind w:firstLine="643"/>
        <w:rPr>
          <w:rFonts w:ascii="仿宋_GB2312" w:hAnsi="仿宋_GB2312" w:cs="仿宋_GB2312"/>
        </w:rPr>
      </w:pPr>
      <w:r>
        <w:rPr>
          <w:rFonts w:hint="eastAsia" w:ascii="仿宋_GB2312" w:hAnsi="仿宋_GB2312" w:cs="仿宋_GB2312"/>
          <w:b/>
        </w:rPr>
        <w:t>合理配置新增建设用地</w:t>
      </w:r>
      <w:r>
        <w:rPr>
          <w:rFonts w:hint="eastAsia" w:ascii="仿宋_GB2312" w:hAnsi="仿宋_GB2312" w:cs="仿宋_GB2312"/>
          <w:b/>
          <w:bCs/>
        </w:rPr>
        <w:t>。</w:t>
      </w:r>
      <w:r>
        <w:rPr>
          <w:rFonts w:hint="eastAsia" w:ascii="仿宋_GB2312" w:hAnsi="仿宋_GB2312" w:cs="仿宋_GB2312"/>
        </w:rPr>
        <w:t>重点倾斜城市化地区、土地利用效益和节约集约利用水平高以及耕地占补平衡潜力大的区域，优先保障综合交通、能源、水利等重大基础设施、民生工程，重点保障市中心城区扩容提质、贺州高新技术开发区等重点产业园发展用地。</w:t>
      </w:r>
    </w:p>
    <w:p>
      <w:pPr>
        <w:pStyle w:val="5"/>
        <w:numPr>
          <w:ilvl w:val="0"/>
          <w:numId w:val="5"/>
        </w:numPr>
        <w:spacing w:before="156" w:after="0" w:afterLines="0"/>
        <w:ind w:left="0" w:firstLine="640"/>
        <w:rPr>
          <w:lang w:val="zh-CN"/>
        </w:rPr>
      </w:pPr>
      <w:r>
        <w:rPr>
          <w:rFonts w:hint="eastAsia"/>
          <w:lang w:val="zh-CN"/>
        </w:rPr>
        <w:t>存量土地和低效用地</w:t>
      </w:r>
    </w:p>
    <w:p>
      <w:pPr>
        <w:snapToGrid w:val="0"/>
        <w:ind w:firstLine="643"/>
        <w:rPr>
          <w:rFonts w:ascii="仿宋_GB2312" w:hAnsi="仿宋_GB2312" w:cs="仿宋_GB2312"/>
        </w:rPr>
      </w:pPr>
      <w:r>
        <w:rPr>
          <w:rFonts w:hint="eastAsia" w:ascii="仿宋_GB2312" w:hAnsi="仿宋_GB2312" w:cs="仿宋_GB2312"/>
          <w:b/>
        </w:rPr>
        <w:t>积极盘活存量土地和低效用地</w:t>
      </w:r>
      <w:r>
        <w:rPr>
          <w:rFonts w:hint="eastAsia" w:ascii="仿宋_GB2312" w:hAnsi="仿宋_GB2312" w:cs="仿宋_GB2312"/>
          <w:b/>
          <w:bCs/>
        </w:rPr>
        <w:t>。</w:t>
      </w:r>
      <w:r>
        <w:rPr>
          <w:rFonts w:hint="eastAsia" w:ascii="仿宋_GB2312" w:hAnsi="仿宋_GB2312" w:cs="仿宋_GB2312"/>
        </w:rPr>
        <w:t>严格落实“增存挂钩”制度，促进批而未供和低效用地有效利用，将年均供地率、批而未供土地处置率与新增建设用地计划指标挂钩。</w:t>
      </w:r>
      <w:r>
        <w:rPr>
          <w:rFonts w:hint="eastAsia" w:ascii="仿宋_GB2312" w:hAnsi="仿宋_GB2312" w:cs="仿宋_GB2312"/>
          <w:bCs/>
          <w:lang w:bidi="ar"/>
        </w:rPr>
        <w:t>规划期内</w:t>
      </w:r>
      <w:r>
        <w:rPr>
          <w:rFonts w:hint="eastAsia" w:ascii="仿宋_GB2312" w:hAnsi="仿宋_GB2312" w:cs="仿宋_GB2312"/>
        </w:rPr>
        <w:t>重点针对中心城区、产业园区实施存量盘活计划，提高存量建设用地在土地供应总量中的比重。加快中心城区、产业园区已报批地块基础设施建设和土地前期开发进度，尽快达到土地出让条件；实行土地征收“净地交付”模式，着力提高征地效率；围绕石材碳酸钙、金属新材料、电子信息等重点产业，</w:t>
      </w:r>
      <w:r>
        <w:t>加大招商引资力度</w:t>
      </w:r>
      <w:r>
        <w:rPr>
          <w:rFonts w:hint="eastAsia"/>
        </w:rPr>
        <w:t>，提高土地供应率，严格执行国家、自治区建设用地控制指标，从源头上减少新的存量土地产生</w:t>
      </w:r>
      <w:r>
        <w:rPr>
          <w:rFonts w:hint="eastAsia" w:ascii="仿宋_GB2312" w:hAnsi="仿宋_GB2312" w:cs="仿宋_GB2312"/>
        </w:rPr>
        <w:t>。强化土地完善对布局散乱、利用粗放、用途不合理、闲置浪费等低效用地再开发的奖励机制，鼓励低效用地再开发。</w:t>
      </w:r>
    </w:p>
    <w:p>
      <w:pPr>
        <w:pStyle w:val="5"/>
        <w:numPr>
          <w:ilvl w:val="0"/>
          <w:numId w:val="5"/>
        </w:numPr>
        <w:spacing w:before="156" w:after="0" w:afterLines="0"/>
        <w:ind w:left="0" w:firstLine="640"/>
        <w:rPr>
          <w:lang w:val="zh-CN"/>
        </w:rPr>
      </w:pPr>
      <w:r>
        <w:rPr>
          <w:rFonts w:hint="eastAsia"/>
          <w:lang w:val="zh-CN"/>
        </w:rPr>
        <w:t>农村建设用地</w:t>
      </w:r>
    </w:p>
    <w:p>
      <w:pPr>
        <w:snapToGrid w:val="0"/>
        <w:ind w:firstLine="643"/>
        <w:rPr>
          <w:rFonts w:ascii="仿宋_GB2312" w:hAnsi="仿宋_GB2312" w:cs="仿宋_GB2312"/>
        </w:rPr>
      </w:pPr>
      <w:r>
        <w:rPr>
          <w:rFonts w:hint="eastAsia" w:ascii="仿宋_GB2312" w:hAnsi="仿宋_GB2312" w:cs="仿宋_GB2312"/>
          <w:b/>
        </w:rPr>
        <w:t>有效挖掘农村建设用地潜力</w:t>
      </w:r>
      <w:r>
        <w:rPr>
          <w:rFonts w:hint="eastAsia" w:ascii="仿宋_GB2312" w:hAnsi="仿宋_GB2312" w:cs="仿宋_GB2312"/>
          <w:b/>
          <w:bCs/>
        </w:rPr>
        <w:t>。</w:t>
      </w:r>
      <w:r>
        <w:rPr>
          <w:rFonts w:hint="eastAsia" w:ascii="仿宋_GB2312" w:hAnsi="仿宋_GB2312" w:cs="仿宋_GB2312"/>
        </w:rPr>
        <w:t>通过空心村治理、农村居民点布局优化、集体建设用地流转、废弃建设用地复垦等多种措施，积极实施城乡建设用地增减挂钩、工矿废弃地复垦利用，推动建设用地在城镇和农村内部、城乡之间合理流动，促进农村建设用地节约集约利用。</w:t>
      </w:r>
    </w:p>
    <w:p>
      <w:pPr>
        <w:pStyle w:val="5"/>
        <w:numPr>
          <w:ilvl w:val="0"/>
          <w:numId w:val="5"/>
        </w:numPr>
        <w:spacing w:before="156" w:after="0" w:afterLines="0"/>
        <w:ind w:left="0" w:firstLine="640"/>
        <w:rPr>
          <w:lang w:val="zh-CN"/>
        </w:rPr>
      </w:pPr>
      <w:r>
        <w:rPr>
          <w:rFonts w:hint="eastAsia"/>
          <w:lang w:val="zh-CN"/>
        </w:rPr>
        <w:t>土地利用效率</w:t>
      </w:r>
    </w:p>
    <w:p>
      <w:pPr>
        <w:pStyle w:val="2"/>
        <w:ind w:firstLine="643"/>
        <w:rPr>
          <w:rFonts w:ascii="仿宋_GB2312" w:hAnsi="仿宋_GB2312" w:cs="仿宋_GB2312"/>
        </w:rPr>
      </w:pPr>
      <w:r>
        <w:rPr>
          <w:rFonts w:hint="eastAsia" w:ascii="仿宋_GB2312" w:hAnsi="仿宋_GB2312" w:cs="仿宋_GB2312"/>
          <w:b/>
        </w:rPr>
        <w:t>落实最严格的节约集约用地制度</w:t>
      </w:r>
      <w:r>
        <w:rPr>
          <w:rFonts w:hint="eastAsia" w:ascii="仿宋_GB2312" w:hAnsi="仿宋_GB2312" w:cs="仿宋_GB2312"/>
          <w:b/>
          <w:bCs/>
        </w:rPr>
        <w:t>。</w:t>
      </w:r>
      <w:r>
        <w:rPr>
          <w:rFonts w:hint="eastAsia" w:ascii="仿宋_GB2312" w:hAnsi="仿宋_GB2312" w:cs="仿宋_GB2312"/>
        </w:rPr>
        <w:t>实行建设用地总量和强度双控，助推经济社会发展全面绿色转型。引导工业向开发区、产业园区集聚，强化建设用地开发强度、土地投资强度等指标整体控制，推动碳酸钙、冶金循环等传统产业链延伸升级，健全以“亩均效益”为导向的土地资源优化配置机制。</w:t>
      </w:r>
    </w:p>
    <w:p>
      <w:pPr>
        <w:pStyle w:val="4"/>
        <w:numPr>
          <w:ilvl w:val="0"/>
          <w:numId w:val="12"/>
        </w:numPr>
        <w:tabs>
          <w:tab w:val="left" w:pos="360"/>
        </w:tabs>
        <w:spacing w:before="156" w:beforeLines="50" w:line="460" w:lineRule="exact"/>
        <w:ind w:left="0" w:firstLine="0"/>
        <w:rPr>
          <w:rFonts w:ascii="Times New Roman" w:hAnsi="Times New Roman"/>
        </w:rPr>
      </w:pPr>
      <w:bookmarkStart w:id="411" w:name="_Toc7649"/>
      <w:bookmarkStart w:id="412" w:name="_Toc22710"/>
      <w:bookmarkStart w:id="413" w:name="_Toc4626"/>
      <w:bookmarkStart w:id="414" w:name="_Toc213018276"/>
      <w:bookmarkStart w:id="415" w:name="_Toc31572"/>
      <w:bookmarkStart w:id="416" w:name="_Toc1650"/>
      <w:bookmarkStart w:id="417" w:name="_Toc18676"/>
      <w:bookmarkStart w:id="418" w:name="_Toc16143_WPSOffice_Level2"/>
      <w:bookmarkStart w:id="419" w:name="_Toc2460"/>
      <w:bookmarkStart w:id="420" w:name="_Toc12732"/>
      <w:r>
        <w:rPr>
          <w:rFonts w:hint="eastAsia" w:ascii="Times New Roman" w:hAnsi="Times New Roman"/>
        </w:rPr>
        <w:t>其他资源保护与开发</w:t>
      </w:r>
      <w:bookmarkEnd w:id="411"/>
      <w:bookmarkEnd w:id="412"/>
      <w:bookmarkEnd w:id="413"/>
      <w:bookmarkEnd w:id="414"/>
      <w:bookmarkEnd w:id="415"/>
      <w:bookmarkEnd w:id="416"/>
      <w:bookmarkEnd w:id="417"/>
      <w:bookmarkEnd w:id="418"/>
      <w:bookmarkEnd w:id="419"/>
      <w:bookmarkEnd w:id="420"/>
    </w:p>
    <w:p>
      <w:pPr>
        <w:pStyle w:val="5"/>
        <w:numPr>
          <w:ilvl w:val="0"/>
          <w:numId w:val="5"/>
        </w:numPr>
        <w:spacing w:before="156" w:after="0" w:afterLines="0"/>
        <w:ind w:left="0" w:firstLine="640"/>
      </w:pPr>
      <w:r>
        <w:rPr>
          <w:rFonts w:hint="eastAsia"/>
        </w:rPr>
        <w:t>矿产资源保护与开发</w:t>
      </w:r>
    </w:p>
    <w:p>
      <w:pPr>
        <w:ind w:firstLine="643"/>
        <w:rPr>
          <w:rFonts w:ascii="仿宋_GB2312" w:hAnsi="仿宋_GB2312" w:cs="仿宋_GB2312"/>
          <w:szCs w:val="30"/>
        </w:rPr>
      </w:pPr>
      <w:r>
        <w:rPr>
          <w:rFonts w:hint="eastAsia" w:ascii="仿宋_GB2312" w:hAnsi="仿宋_GB2312" w:cs="仿宋_GB2312"/>
          <w:b/>
          <w:szCs w:val="30"/>
        </w:rPr>
        <w:t>聚焦优势矿产开发</w:t>
      </w:r>
      <w:r>
        <w:rPr>
          <w:rFonts w:hint="eastAsia" w:ascii="仿宋_GB2312" w:hAnsi="仿宋_GB2312" w:cs="仿宋_GB2312"/>
          <w:b/>
          <w:bCs/>
          <w:szCs w:val="30"/>
        </w:rPr>
        <w:t>。</w:t>
      </w:r>
      <w:r>
        <w:rPr>
          <w:rFonts w:hint="eastAsia" w:ascii="仿宋_GB2312" w:hAnsi="仿宋_GB2312" w:cs="仿宋_GB2312"/>
          <w:szCs w:val="30"/>
        </w:rPr>
        <w:t>聚焦优势矿产和战略性矿产，优先发展大理岩、花岗岩、石灰岩、钾长石等优势矿产，兼顾稀土、钨矿、金矿等战略性矿产保障，规范矿产资源开发利用。重点推进平桂区大理石矿区、平桂区黄田浩洞、八步区里松饰面用花岗岩等重点勘查区、开采区建设。</w:t>
      </w:r>
    </w:p>
    <w:p>
      <w:pPr>
        <w:ind w:firstLine="643"/>
        <w:rPr>
          <w:rFonts w:ascii="仿宋_GB2312" w:hAnsi="仿宋_GB2312" w:cs="仿宋_GB2312"/>
          <w:b/>
          <w:szCs w:val="30"/>
        </w:rPr>
      </w:pPr>
      <w:r>
        <w:rPr>
          <w:rFonts w:hint="eastAsia" w:ascii="仿宋_GB2312" w:hAnsi="仿宋_GB2312" w:cs="仿宋_GB2312"/>
          <w:b/>
          <w:szCs w:val="30"/>
        </w:rPr>
        <w:t>严守各类资源安全底线</w:t>
      </w:r>
      <w:r>
        <w:rPr>
          <w:rFonts w:hint="eastAsia" w:ascii="仿宋_GB2312" w:hAnsi="仿宋_GB2312" w:cs="仿宋_GB2312"/>
          <w:b/>
          <w:bCs/>
          <w:szCs w:val="30"/>
        </w:rPr>
        <w:t>。</w:t>
      </w:r>
      <w:r>
        <w:rPr>
          <w:rFonts w:hint="eastAsia" w:ascii="仿宋_GB2312" w:hAnsi="仿宋_GB2312" w:cs="仿宋_GB2312"/>
          <w:szCs w:val="30"/>
        </w:rPr>
        <w:t>严格落实自治区管控要求，到2025年，全市采矿权总数控制在166个以内，矿山“三率”水平达标率达到96%以上。统筹协调与生态保护红线、永久基本农田等各类资源安全底线关系。生态保护红线内禁止除国家战略性能源资源勘查及公益性自然资源调查和地质勘查外的新开发项目，对已设立的采矿权依法依规合理处置；除战略性矿产除外，新设矿业权均应避让永久基本农田。</w:t>
      </w:r>
    </w:p>
    <w:p>
      <w:pPr>
        <w:pStyle w:val="5"/>
        <w:numPr>
          <w:ilvl w:val="0"/>
          <w:numId w:val="5"/>
        </w:numPr>
        <w:spacing w:before="156" w:after="0" w:afterLines="0"/>
        <w:ind w:left="0" w:firstLine="640"/>
      </w:pPr>
      <w:r>
        <w:rPr>
          <w:rFonts w:hint="eastAsia"/>
        </w:rPr>
        <w:t>湿地保护与合理利用</w:t>
      </w:r>
    </w:p>
    <w:p>
      <w:pPr>
        <w:ind w:firstLine="643"/>
        <w:rPr>
          <w:rFonts w:ascii="仿宋_GB2312" w:hAnsi="仿宋_GB2312" w:cs="仿宋_GB2312"/>
          <w:szCs w:val="30"/>
        </w:rPr>
      </w:pPr>
      <w:r>
        <w:rPr>
          <w:rFonts w:hint="eastAsia" w:ascii="仿宋_GB2312" w:hAnsi="仿宋_GB2312" w:cs="仿宋_GB2312"/>
          <w:b/>
          <w:szCs w:val="30"/>
        </w:rPr>
        <w:t>维护湿地保护率和布局稳定。</w:t>
      </w:r>
      <w:r>
        <w:rPr>
          <w:rFonts w:hint="eastAsia" w:ascii="仿宋_GB2312" w:hAnsi="仿宋_GB2312" w:cs="仿宋_GB2312"/>
          <w:szCs w:val="30"/>
        </w:rPr>
        <w:t>构建以重要湿地、湿地公园、湿地保护小区为主的湿地保护体系，以保护贺江、桂江流域关键濒危水生生物和国家重点保护的水生动植物资源为重点，加强水生生物增殖放流及水生生物栖息地保护与修复。重点推进地方级湿地公园建设和湿地分级管理体系建设，开展一般湿地名录认定和重要湿地名录申报工作。</w:t>
      </w:r>
    </w:p>
    <w:p>
      <w:pPr>
        <w:pStyle w:val="2"/>
        <w:ind w:firstLine="643"/>
        <w:rPr>
          <w:rFonts w:ascii="仿宋_GB2312" w:hAnsi="仿宋_GB2312" w:cs="仿宋_GB2312"/>
          <w:szCs w:val="30"/>
        </w:rPr>
      </w:pPr>
      <w:r>
        <w:rPr>
          <w:rFonts w:hint="eastAsia" w:ascii="仿宋_GB2312" w:hAnsi="仿宋_GB2312" w:cs="仿宋_GB2312"/>
          <w:b/>
          <w:szCs w:val="30"/>
        </w:rPr>
        <w:t>强化湿地保护与管理。</w:t>
      </w:r>
      <w:r>
        <w:rPr>
          <w:rFonts w:hint="eastAsia" w:ascii="仿宋_GB2312" w:hAnsi="仿宋_GB2312" w:cs="仿宋_GB2312"/>
          <w:szCs w:val="30"/>
        </w:rPr>
        <w:t>禁止在湿地保护范围内25°以上的坡地开垦种植农作物。建立湿地定期调查和动态监测体系，掌握湿地资源与环境动态，为湿地保护、合理利用与管理提供科学依据。在湿地公园从事生产经营、观赏旅游、科研教育等活动，应当符合湿地公园保护规划，不得破坏湿地生态系统基本功能，不得超出湿地资源的承载能力或者给野生动植物物种造成破坏性损害。</w:t>
      </w:r>
    </w:p>
    <w:p>
      <w:pPr>
        <w:pStyle w:val="5"/>
        <w:numPr>
          <w:ilvl w:val="0"/>
          <w:numId w:val="5"/>
        </w:numPr>
        <w:spacing w:before="156" w:after="0" w:afterLines="0"/>
        <w:ind w:left="0" w:firstLine="640"/>
        <w:rPr>
          <w:lang w:val="zh-CN"/>
        </w:rPr>
      </w:pPr>
      <w:r>
        <w:rPr>
          <w:rFonts w:hint="eastAsia"/>
        </w:rPr>
        <w:t>草地资源保护与利用</w:t>
      </w:r>
    </w:p>
    <w:p>
      <w:pPr>
        <w:pStyle w:val="2"/>
        <w:ind w:firstLine="643"/>
        <w:rPr>
          <w:rFonts w:ascii="仿宋_GB2312" w:hAnsi="仿宋_GB2312" w:cs="仿宋_GB2312"/>
          <w:szCs w:val="32"/>
        </w:rPr>
      </w:pPr>
      <w:r>
        <w:rPr>
          <w:rFonts w:hint="eastAsia" w:ascii="仿宋_GB2312" w:hAnsi="仿宋_GB2312" w:cs="仿宋_GB2312"/>
          <w:b/>
          <w:szCs w:val="32"/>
        </w:rPr>
        <w:t>完善草原管理体制。</w:t>
      </w:r>
      <w:r>
        <w:rPr>
          <w:rFonts w:hint="eastAsia" w:ascii="仿宋_GB2312" w:hAnsi="仿宋_GB2312" w:cs="仿宋_GB2312"/>
          <w:szCs w:val="32"/>
        </w:rPr>
        <w:t>在进行草原保护的过程中，为提高保护的效果，加强对草原保护体制的建设，重视对生态环境的全面建设和管理。针对草原退化比较严重的地区，采取草地种植的方式，提高草原的覆盖率</w:t>
      </w:r>
      <w:r>
        <w:rPr>
          <w:rFonts w:ascii="仿宋_GB2312" w:hAnsi="仿宋_GB2312" w:cs="仿宋_GB2312"/>
          <w:szCs w:val="32"/>
        </w:rPr>
        <w:t>。</w:t>
      </w:r>
      <w:r>
        <w:rPr>
          <w:rFonts w:hint="eastAsia" w:ascii="仿宋_GB2312" w:hAnsi="仿宋_GB2312" w:cs="仿宋_GB2312"/>
          <w:szCs w:val="32"/>
        </w:rPr>
        <w:t>不断推进林草治理体系和治理能力现代化，深入实施“山水林田湖草”系统治理，切实提升草地资源治理效能。</w:t>
      </w:r>
    </w:p>
    <w:p>
      <w:pPr>
        <w:pStyle w:val="2"/>
        <w:ind w:firstLine="643"/>
        <w:rPr>
          <w:rFonts w:ascii="仿宋_GB2312" w:hAnsi="仿宋_GB2312" w:cs="仿宋_GB2312"/>
          <w:szCs w:val="32"/>
        </w:rPr>
      </w:pPr>
      <w:r>
        <w:rPr>
          <w:rFonts w:hint="eastAsia" w:ascii="仿宋_GB2312" w:hAnsi="仿宋_GB2312" w:cs="仿宋_GB2312"/>
          <w:b/>
          <w:szCs w:val="32"/>
        </w:rPr>
        <w:t>建立草原生态补偿机制。</w:t>
      </w:r>
      <w:r>
        <w:rPr>
          <w:rFonts w:hint="eastAsia" w:ascii="仿宋_GB2312" w:hAnsi="仿宋_GB2312" w:cs="仿宋_GB2312"/>
          <w:szCs w:val="32"/>
        </w:rPr>
        <w:t>对生态环境产生破坏的活动，与产生环境利益与经济利益间的分配关系进行适当的调整。在对草原上的矿山资源开采后或在开采过程中，采取与之相对应的措施来进行弥补，使草原的生态环境可以得到有效地恢复，针对部分牧民的损失提供一定的补偿。</w:t>
      </w:r>
    </w:p>
    <w:p>
      <w:pPr>
        <w:ind w:firstLine="640"/>
        <w:rPr>
          <w:rFonts w:ascii="仿宋_GB2312" w:hAnsi="仿宋_GB2312" w:cs="仿宋_GB2312"/>
          <w:szCs w:val="32"/>
          <w:lang w:val="zh-CN"/>
        </w:rPr>
      </w:pPr>
      <w:bookmarkStart w:id="421" w:name="_Toc16748"/>
      <w:bookmarkStart w:id="422" w:name="_Toc28712"/>
      <w:bookmarkStart w:id="423" w:name="_Toc7037"/>
      <w:bookmarkStart w:id="424" w:name="_Toc9101"/>
      <w:bookmarkStart w:id="425" w:name="_Toc24952"/>
      <w:bookmarkStart w:id="426" w:name="_Toc25843"/>
      <w:bookmarkStart w:id="427" w:name="_Toc2005"/>
      <w:bookmarkStart w:id="428" w:name="_Toc17051"/>
      <w:r>
        <w:rPr>
          <w:rFonts w:hint="eastAsia" w:ascii="仿宋_GB2312" w:hAnsi="仿宋_GB2312" w:cs="仿宋_GB2312"/>
          <w:szCs w:val="32"/>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bookmarkStart w:id="429" w:name="_Toc213018277"/>
      <w:bookmarkStart w:id="430" w:name="_Toc2198_WPSOffice_Level1"/>
      <w:r>
        <w:rPr>
          <w:rFonts w:hint="eastAsia" w:ascii="方正小标宋_GBK" w:hAnsi="方正小标宋_GBK" w:cs="方正小标宋_GBK"/>
          <w:szCs w:val="36"/>
          <w:lang w:val="zh-CN"/>
        </w:rPr>
        <w:t>潇贺魅力空间</w:t>
      </w:r>
      <w:bookmarkEnd w:id="421"/>
      <w:bookmarkEnd w:id="422"/>
      <w:bookmarkEnd w:id="423"/>
      <w:bookmarkEnd w:id="424"/>
      <w:bookmarkEnd w:id="425"/>
      <w:bookmarkEnd w:id="426"/>
      <w:bookmarkEnd w:id="427"/>
      <w:bookmarkEnd w:id="428"/>
      <w:bookmarkEnd w:id="429"/>
      <w:bookmarkEnd w:id="430"/>
    </w:p>
    <w:p>
      <w:pPr>
        <w:pStyle w:val="4"/>
        <w:numPr>
          <w:ilvl w:val="0"/>
          <w:numId w:val="13"/>
        </w:numPr>
        <w:tabs>
          <w:tab w:val="left" w:pos="360"/>
        </w:tabs>
        <w:spacing w:before="156" w:beforeLines="50" w:line="460" w:lineRule="exact"/>
        <w:ind w:left="0" w:firstLine="0"/>
        <w:rPr>
          <w:rFonts w:ascii="Times New Roman" w:hAnsi="Times New Roman"/>
        </w:rPr>
      </w:pPr>
      <w:bookmarkStart w:id="431" w:name="_Toc213018278"/>
      <w:bookmarkStart w:id="432" w:name="_Toc11124"/>
      <w:bookmarkStart w:id="433" w:name="_Toc9875_WPSOffice_Level2"/>
      <w:bookmarkStart w:id="434" w:name="_Toc21667"/>
      <w:bookmarkStart w:id="435" w:name="_Toc27959"/>
      <w:bookmarkStart w:id="436" w:name="_Toc26701"/>
      <w:bookmarkStart w:id="437" w:name="_Toc128144627"/>
      <w:bookmarkStart w:id="438" w:name="_Toc22978"/>
      <w:bookmarkStart w:id="439" w:name="_Toc17011"/>
      <w:bookmarkStart w:id="440" w:name="_Toc28554"/>
      <w:bookmarkStart w:id="441" w:name="_Toc27011"/>
      <w:bookmarkStart w:id="442" w:name="_Toc27931"/>
      <w:bookmarkStart w:id="443" w:name="_Toc24716"/>
      <w:r>
        <w:rPr>
          <w:rFonts w:hint="eastAsia" w:ascii="Times New Roman" w:hAnsi="Times New Roman"/>
        </w:rPr>
        <w:t>魅力空间体系</w:t>
      </w:r>
      <w:bookmarkEnd w:id="431"/>
      <w:bookmarkEnd w:id="432"/>
      <w:bookmarkEnd w:id="433"/>
      <w:bookmarkEnd w:id="434"/>
      <w:bookmarkEnd w:id="435"/>
      <w:bookmarkEnd w:id="436"/>
      <w:bookmarkEnd w:id="437"/>
    </w:p>
    <w:p>
      <w:pPr>
        <w:pStyle w:val="5"/>
        <w:numPr>
          <w:ilvl w:val="0"/>
          <w:numId w:val="5"/>
        </w:numPr>
        <w:spacing w:before="156" w:after="0" w:afterLines="0"/>
        <w:ind w:left="0" w:firstLine="640"/>
      </w:pPr>
      <w:r>
        <w:rPr>
          <w:rFonts w:hint="eastAsia"/>
        </w:rPr>
        <w:t>魅力空间保护格局</w:t>
      </w:r>
    </w:p>
    <w:p>
      <w:pPr>
        <w:pStyle w:val="2"/>
        <w:ind w:firstLine="643"/>
        <w:rPr>
          <w:rFonts w:ascii="仿宋_GB2312" w:hAnsi="仿宋_GB2312" w:cs="仿宋_GB2312"/>
        </w:rPr>
      </w:pPr>
      <w:r>
        <w:rPr>
          <w:rFonts w:hint="eastAsia" w:ascii="仿宋_GB2312" w:hAnsi="仿宋_GB2312" w:cs="仿宋_GB2312"/>
          <w:b/>
          <w:bCs/>
        </w:rPr>
        <w:t>构建“1355”的全域魅力空间保护利用格局。</w:t>
      </w:r>
      <w:r>
        <w:rPr>
          <w:rFonts w:hint="eastAsia" w:ascii="仿宋_GB2312" w:hAnsi="仿宋_GB2312" w:cs="仿宋_GB2312"/>
          <w:bCs/>
        </w:rPr>
        <w:t>即</w:t>
      </w:r>
      <w:bookmarkStart w:id="444" w:name="_Toc26408"/>
      <w:bookmarkStart w:id="445" w:name="_Toc17822"/>
      <w:bookmarkStart w:id="446" w:name="_Toc128144629"/>
      <w:bookmarkStart w:id="447" w:name="_Toc10833"/>
      <w:bookmarkStart w:id="448" w:name="_Toc9644"/>
      <w:r>
        <w:rPr>
          <w:rFonts w:hint="eastAsia" w:ascii="仿宋_GB2312" w:hAnsi="仿宋_GB2312" w:cs="仿宋_GB2312"/>
        </w:rPr>
        <w:t>依托一城三廊道五单元五节点，打造建设一批集中体现贺州市魅力内涵的特色空间。</w:t>
      </w:r>
    </w:p>
    <w:p>
      <w:pPr>
        <w:snapToGrid w:val="0"/>
        <w:ind w:firstLine="643"/>
        <w:rPr>
          <w:rFonts w:ascii="仿宋_GB2312" w:hAnsi="仿宋_GB2312" w:cs="仿宋_GB2312"/>
          <w:bCs/>
          <w:szCs w:val="30"/>
        </w:rPr>
      </w:pPr>
      <w:r>
        <w:rPr>
          <w:rFonts w:hint="eastAsia" w:ascii="仿宋_GB2312" w:hAnsi="仿宋_GB2312" w:cs="仿宋_GB2312"/>
          <w:b/>
          <w:bCs/>
          <w:szCs w:val="30"/>
        </w:rPr>
        <w:t>——“一城”。</w:t>
      </w:r>
      <w:r>
        <w:rPr>
          <w:rFonts w:hint="eastAsia" w:ascii="仿宋_GB2312" w:hAnsi="仿宋_GB2312" w:cs="仿宋_GB2312"/>
          <w:bCs/>
          <w:szCs w:val="30"/>
        </w:rPr>
        <w:t>即山水园林长寿服务城，以“生态水墨山水画”为风貌主题，加快建设中心城区环城水系，构建环城市生态田园休闲圈，配套完善交通集散、住宿餐饮、休闲购物等服务设施，擦亮“世界长寿市”的金字招牌。</w:t>
      </w:r>
    </w:p>
    <w:p>
      <w:pPr>
        <w:snapToGrid w:val="0"/>
        <w:ind w:firstLine="643"/>
        <w:rPr>
          <w:rFonts w:ascii="仿宋_GB2312" w:hAnsi="仿宋_GB2312" w:cs="仿宋_GB2312"/>
          <w:bCs/>
          <w:szCs w:val="30"/>
        </w:rPr>
      </w:pPr>
      <w:r>
        <w:rPr>
          <w:rFonts w:hint="eastAsia" w:ascii="仿宋_GB2312" w:hAnsi="仿宋_GB2312" w:cs="仿宋_GB2312"/>
          <w:b/>
          <w:bCs/>
          <w:szCs w:val="30"/>
        </w:rPr>
        <w:t>——“三廊道”。</w:t>
      </w:r>
      <w:r>
        <w:rPr>
          <w:rFonts w:hint="eastAsia" w:ascii="仿宋_GB2312" w:hAnsi="仿宋_GB2312" w:cs="仿宋_GB2312"/>
          <w:bCs/>
          <w:szCs w:val="30"/>
        </w:rPr>
        <w:t>即基于各类山水长寿文旅资源形成的带状旅游发展廊道。包括</w:t>
      </w:r>
      <w:r>
        <w:rPr>
          <w:rFonts w:hint="eastAsia" w:ascii="仿宋_GB2312" w:hAnsi="仿宋_GB2312" w:cs="仿宋_GB2312"/>
          <w:b/>
          <w:szCs w:val="30"/>
        </w:rPr>
        <w:t>文旅东融发展主廊道</w:t>
      </w:r>
      <w:r>
        <w:rPr>
          <w:rFonts w:hint="eastAsia" w:ascii="仿宋_GB2312" w:hAnsi="仿宋_GB2312" w:cs="仿宋_GB2312"/>
          <w:bCs/>
          <w:szCs w:val="30"/>
        </w:rPr>
        <w:t>：沿汕昆高速、连贺高速、贵广高铁、潇贺古道等构建桂东粤西重要康养经济走廊。</w:t>
      </w:r>
      <w:r>
        <w:rPr>
          <w:rFonts w:hint="eastAsia" w:ascii="仿宋_GB2312" w:hAnsi="仿宋_GB2312" w:cs="仿宋_GB2312"/>
          <w:b/>
          <w:szCs w:val="30"/>
        </w:rPr>
        <w:t>湘桂文化副廊道：</w:t>
      </w:r>
      <w:r>
        <w:rPr>
          <w:rFonts w:hint="eastAsia" w:ascii="仿宋_GB2312" w:hAnsi="仿宋_GB2312" w:cs="仿宋_GB2312"/>
          <w:bCs/>
          <w:szCs w:val="30"/>
        </w:rPr>
        <w:t>依托G323、</w:t>
      </w:r>
      <w:r>
        <w:rPr>
          <w:rFonts w:ascii="仿宋_GB2312" w:hAnsi="仿宋_GB2312" w:cs="仿宋_GB2312"/>
          <w:bCs/>
          <w:szCs w:val="30"/>
        </w:rPr>
        <w:t>S</w:t>
      </w:r>
      <w:r>
        <w:rPr>
          <w:rFonts w:hint="eastAsia" w:ascii="仿宋_GB2312" w:hAnsi="仿宋_GB2312" w:cs="仿宋_GB2312"/>
          <w:bCs/>
          <w:szCs w:val="30"/>
        </w:rPr>
        <w:t>503及贺巴高速，辐射湖南，加快提升沿线文化体验旅游品质，打造辐射湘桂两地的文化副廊道。</w:t>
      </w:r>
      <w:r>
        <w:rPr>
          <w:rFonts w:hint="eastAsia" w:ascii="仿宋_GB2312" w:hAnsi="仿宋_GB2312" w:cs="仿宋_GB2312"/>
          <w:b/>
          <w:szCs w:val="30"/>
        </w:rPr>
        <w:t>西江生态副廊道：</w:t>
      </w:r>
      <w:r>
        <w:rPr>
          <w:rFonts w:hint="eastAsia" w:ascii="仿宋_GB2312" w:hAnsi="仿宋_GB2312" w:cs="仿宋_GB2312"/>
          <w:bCs/>
          <w:szCs w:val="30"/>
        </w:rPr>
        <w:t>依托桂江沿岸自然山水风光和民俗风情，连通西江，联系桂林和梧州，构筑绿色生态旅游廊道。</w:t>
      </w:r>
    </w:p>
    <w:p>
      <w:pPr>
        <w:snapToGrid w:val="0"/>
        <w:ind w:firstLine="643"/>
        <w:rPr>
          <w:rFonts w:ascii="仿宋_GB2312" w:hAnsi="仿宋_GB2312" w:cs="仿宋_GB2312"/>
          <w:b/>
          <w:bCs/>
          <w:szCs w:val="30"/>
        </w:rPr>
      </w:pPr>
      <w:r>
        <w:rPr>
          <w:rFonts w:hint="eastAsia" w:ascii="仿宋_GB2312" w:hAnsi="仿宋_GB2312" w:cs="仿宋_GB2312"/>
          <w:b/>
          <w:bCs/>
          <w:szCs w:val="30"/>
        </w:rPr>
        <w:t>——“五单元”。</w:t>
      </w:r>
      <w:r>
        <w:rPr>
          <w:rFonts w:hint="eastAsia" w:ascii="仿宋_GB2312" w:hAnsi="仿宋_GB2312" w:cs="仿宋_GB2312"/>
          <w:szCs w:val="30"/>
        </w:rPr>
        <w:t>即结合区域历史人文和自然景观等魅力资源打造五个主题魅力单元，包括</w:t>
      </w:r>
      <w:r>
        <w:rPr>
          <w:rFonts w:hint="eastAsia" w:ascii="仿宋_GB2312" w:hAnsi="仿宋_GB2312" w:cs="仿宋_GB2312"/>
          <w:b/>
          <w:bCs/>
          <w:szCs w:val="30"/>
        </w:rPr>
        <w:t>养生八步魅力单元</w:t>
      </w:r>
      <w:r>
        <w:rPr>
          <w:rFonts w:hint="eastAsia" w:ascii="仿宋_GB2312" w:hAnsi="仿宋_GB2312" w:cs="仿宋_GB2312"/>
          <w:szCs w:val="30"/>
        </w:rPr>
        <w:t>：以生态、温泉、古城、客家文化等自然和文化旅游资源为依托，深入挖掘长寿文化内涵，积极对接粤港澳大湾区的健康养生需求。</w:t>
      </w:r>
      <w:r>
        <w:rPr>
          <w:rFonts w:hint="eastAsia" w:ascii="仿宋_GB2312" w:hAnsi="仿宋_GB2312" w:cs="仿宋_GB2312"/>
          <w:b/>
          <w:bCs/>
          <w:szCs w:val="30"/>
        </w:rPr>
        <w:t>休闲平桂魅力单元：</w:t>
      </w:r>
      <w:r>
        <w:rPr>
          <w:rFonts w:hint="eastAsia" w:ascii="仿宋_GB2312" w:hAnsi="仿宋_GB2312" w:cs="仿宋_GB2312"/>
          <w:szCs w:val="30"/>
        </w:rPr>
        <w:t>以秀美的山水风光、良好的生态环境、厚重的人文历史和优质的温泉资源为依托，推进姑婆山旅游度假区创建国家级旅游度假区，积极创建国家全域旅游示范区。</w:t>
      </w:r>
      <w:r>
        <w:rPr>
          <w:rFonts w:hint="eastAsia" w:ascii="仿宋_GB2312" w:hAnsi="仿宋_GB2312" w:cs="仿宋_GB2312"/>
          <w:b/>
          <w:bCs/>
          <w:szCs w:val="30"/>
        </w:rPr>
        <w:t>慢城富川魅力单元：</w:t>
      </w:r>
      <w:r>
        <w:rPr>
          <w:rFonts w:hint="eastAsia" w:ascii="仿宋_GB2312" w:hAnsi="仿宋_GB2312" w:cs="仿宋_GB2312"/>
          <w:szCs w:val="30"/>
        </w:rPr>
        <w:t>以“国际慢城”品牌为依托，将慢生活理念与瑶乡生产、生态、生活的原始元素相融合，积极推进古村古城旅游开发与保护。</w:t>
      </w:r>
      <w:r>
        <w:rPr>
          <w:rFonts w:hint="eastAsia" w:ascii="仿宋_GB2312" w:hAnsi="仿宋_GB2312" w:cs="仿宋_GB2312"/>
          <w:b/>
          <w:bCs/>
          <w:szCs w:val="30"/>
        </w:rPr>
        <w:t>生态昭平魅力单元：</w:t>
      </w:r>
      <w:r>
        <w:rPr>
          <w:rFonts w:hint="eastAsia" w:ascii="仿宋_GB2312" w:hAnsi="仿宋_GB2312" w:cs="仿宋_GB2312"/>
          <w:szCs w:val="30"/>
        </w:rPr>
        <w:t>以高品位的生态旅游资源为依托，充分发挥茶寿文化和乡村康养特色，整合全县文化和旅游资源，做强大健康文旅产业。</w:t>
      </w:r>
      <w:r>
        <w:rPr>
          <w:rFonts w:hint="eastAsia" w:ascii="仿宋_GB2312" w:hAnsi="仿宋_GB2312" w:cs="仿宋_GB2312"/>
          <w:b/>
          <w:bCs/>
          <w:szCs w:val="30"/>
        </w:rPr>
        <w:t>灵秀钟山魅力单元：</w:t>
      </w:r>
      <w:r>
        <w:rPr>
          <w:rFonts w:hint="eastAsia" w:ascii="仿宋_GB2312" w:hAnsi="仿宋_GB2312" w:cs="仿宋_GB2312"/>
          <w:szCs w:val="30"/>
        </w:rPr>
        <w:t>以生态山水田园、红色革命文化和绚丽多彩民族风情为依托，丰富农文旅产品供给，提升服务品质，全力打造农文旅融合“钟山样板”。</w:t>
      </w:r>
    </w:p>
    <w:p>
      <w:pPr>
        <w:snapToGrid w:val="0"/>
        <w:ind w:firstLine="643"/>
        <w:rPr>
          <w:rFonts w:ascii="仿宋_GB2312" w:hAnsi="仿宋_GB2312" w:cs="仿宋_GB2312"/>
          <w:bCs/>
          <w:szCs w:val="30"/>
        </w:rPr>
      </w:pPr>
      <w:r>
        <w:rPr>
          <w:rFonts w:hint="eastAsia" w:ascii="仿宋_GB2312" w:hAnsi="仿宋_GB2312" w:cs="仿宋_GB2312"/>
          <w:b/>
          <w:bCs/>
          <w:szCs w:val="30"/>
        </w:rPr>
        <w:t>——“五节点”。</w:t>
      </w:r>
      <w:r>
        <w:rPr>
          <w:rFonts w:hint="eastAsia" w:ascii="仿宋_GB2312" w:hAnsi="仿宋_GB2312" w:cs="仿宋_GB2312"/>
          <w:bCs/>
          <w:szCs w:val="30"/>
        </w:rPr>
        <w:t>即依托地方特色魅力资源，重点打造五个魅力节点。</w:t>
      </w:r>
      <w:r>
        <w:rPr>
          <w:rFonts w:hint="eastAsia" w:ascii="仿宋_GB2312" w:hAnsi="仿宋_GB2312" w:cs="仿宋_GB2312"/>
          <w:b/>
          <w:bCs/>
          <w:szCs w:val="30"/>
        </w:rPr>
        <w:t>姑婆山国际康养旅游度假区：</w:t>
      </w:r>
      <w:r>
        <w:rPr>
          <w:rFonts w:hint="eastAsia" w:ascii="仿宋_GB2312" w:hAnsi="仿宋_GB2312" w:cs="仿宋_GB2312"/>
          <w:bCs/>
          <w:szCs w:val="30"/>
        </w:rPr>
        <w:t>以创建国家级旅游度假区为目标，充分发挥姑婆山的森林生态环境和温泉度假优势，形成生态康养旅游的引擎驱动。</w:t>
      </w:r>
      <w:r>
        <w:rPr>
          <w:rFonts w:hint="eastAsia" w:ascii="仿宋_GB2312" w:hAnsi="仿宋_GB2312" w:cs="仿宋_GB2312"/>
          <w:b/>
          <w:bCs/>
          <w:szCs w:val="30"/>
        </w:rPr>
        <w:t>南乡森林温泉康养休闲区</w:t>
      </w:r>
      <w:r>
        <w:rPr>
          <w:rFonts w:hint="eastAsia" w:ascii="仿宋_GB2312" w:hAnsi="仿宋_GB2312" w:cs="仿宋_GB2312"/>
          <w:bCs/>
          <w:szCs w:val="30"/>
        </w:rPr>
        <w:t>：以打造大湾区标志性温泉品牌为目标，推进核心项目建设，完善温泉度假综合服务体系，成为贺州市长寿品牌的有力支撑。</w:t>
      </w:r>
      <w:r>
        <w:rPr>
          <w:rFonts w:hint="eastAsia" w:ascii="仿宋_GB2312" w:hAnsi="仿宋_GB2312" w:cs="仿宋_GB2312"/>
          <w:b/>
          <w:bCs/>
          <w:szCs w:val="30"/>
        </w:rPr>
        <w:t>黄姚古镇文化旅游产业示范区</w:t>
      </w:r>
      <w:r>
        <w:rPr>
          <w:rFonts w:hint="eastAsia" w:ascii="仿宋_GB2312" w:hAnsi="仿宋_GB2312" w:cs="仿宋_GB2312"/>
          <w:bCs/>
          <w:szCs w:val="30"/>
        </w:rPr>
        <w:t>：利用古镇历史文化、格局机理和山水景观等优势资源，充分发挥AAAAA级景区辐射带动效应，引领贺州市旅游业转型升级。</w:t>
      </w:r>
      <w:r>
        <w:rPr>
          <w:rFonts w:hint="eastAsia" w:ascii="仿宋_GB2312" w:hAnsi="仿宋_GB2312" w:cs="仿宋_GB2312"/>
          <w:b/>
          <w:bCs/>
          <w:szCs w:val="30"/>
        </w:rPr>
        <w:t>水墨田园农文旅融合集聚区</w:t>
      </w:r>
      <w:r>
        <w:rPr>
          <w:rFonts w:hint="eastAsia" w:ascii="仿宋_GB2312" w:hAnsi="仿宋_GB2312" w:cs="仿宋_GB2312"/>
          <w:bCs/>
          <w:szCs w:val="30"/>
        </w:rPr>
        <w:t>：依托钟山百里水墨田园旅游扶贫项目的建设，开发生态文化养生体验产品，加快推进乡村文化旅游振兴，提升产业内容和服务品质，打造新的乡村大健康文旅产业集群。</w:t>
      </w:r>
      <w:r>
        <w:rPr>
          <w:rFonts w:hint="eastAsia" w:ascii="仿宋_GB2312" w:hAnsi="仿宋_GB2312" w:cs="仿宋_GB2312"/>
          <w:b/>
          <w:bCs/>
          <w:szCs w:val="30"/>
        </w:rPr>
        <w:t>富川国际慢城生活体验区</w:t>
      </w:r>
      <w:r>
        <w:rPr>
          <w:rFonts w:hint="eastAsia" w:ascii="仿宋_GB2312" w:hAnsi="仿宋_GB2312" w:cs="仿宋_GB2312"/>
          <w:bCs/>
          <w:szCs w:val="30"/>
        </w:rPr>
        <w:t>：利用富川国际慢城的品牌影响力，强化消费型项目建设，构建独具特色的慢生活康养消费集聚区。</w:t>
      </w:r>
    </w:p>
    <w:p>
      <w:pPr>
        <w:pStyle w:val="5"/>
        <w:numPr>
          <w:ilvl w:val="0"/>
          <w:numId w:val="5"/>
        </w:numPr>
        <w:spacing w:before="156" w:after="0" w:afterLines="0"/>
        <w:ind w:left="0" w:firstLine="640"/>
      </w:pPr>
      <w:r>
        <w:rPr>
          <w:rFonts w:hint="eastAsia"/>
        </w:rPr>
        <w:t>全域旅游规划</w:t>
      </w:r>
    </w:p>
    <w:p>
      <w:pPr>
        <w:ind w:firstLine="643"/>
        <w:rPr>
          <w:rFonts w:ascii="仿宋_GB2312" w:hAnsi="仿宋_GB2312" w:cs="仿宋_GB2312"/>
        </w:rPr>
      </w:pPr>
      <w:r>
        <w:rPr>
          <w:rFonts w:hint="eastAsia" w:ascii="仿宋_GB2312" w:hAnsi="仿宋_GB2312" w:cs="仿宋_GB2312"/>
          <w:b/>
        </w:rPr>
        <w:t>加强文旅康养发展空间保障，构建全域旅游空间格局。</w:t>
      </w:r>
      <w:r>
        <w:rPr>
          <w:rFonts w:hint="eastAsia" w:ascii="仿宋_GB2312" w:hAnsi="仿宋_GB2312" w:cs="仿宋_GB2312"/>
        </w:rPr>
        <w:t>结合共享、共赢、共建的发展理念，打造“中国温泉之城·世界长寿贺州”文化和旅游品牌，优化健康养生、文化体验、古镇休闲、温泉度假和山水观光五大核心文化和旅游产品，积极培育长寿养生度假游、山水风光休闲游、民俗文化体验游等三大精品旅游线路，构建全域旅游空间格局，积极融入大桂林旅游圈，促进桂林—贺州文旅一体化。</w:t>
      </w:r>
    </w:p>
    <w:p>
      <w:pPr>
        <w:snapToGrid w:val="0"/>
        <w:ind w:firstLine="643"/>
        <w:rPr>
          <w:rFonts w:ascii="仿宋_GB2312" w:hAnsi="仿宋_GB2312" w:cs="仿宋_GB2312"/>
          <w:bCs/>
          <w:szCs w:val="30"/>
        </w:rPr>
      </w:pPr>
      <w:r>
        <w:rPr>
          <w:rFonts w:hint="eastAsia" w:ascii="仿宋_GB2312" w:hAnsi="仿宋_GB2312" w:cs="仿宋_GB2312"/>
          <w:b/>
          <w:bCs/>
          <w:szCs w:val="30"/>
        </w:rPr>
        <w:t>提升旅游服务供给质量，推进智慧旅游城市建设。</w:t>
      </w:r>
      <w:r>
        <w:rPr>
          <w:rFonts w:hint="eastAsia" w:ascii="仿宋_GB2312" w:hAnsi="仿宋_GB2312" w:cs="仿宋_GB2312"/>
          <w:bCs/>
          <w:szCs w:val="30"/>
        </w:rPr>
        <w:t>加快构建城乡立体化交通网络，提高旅游景区的可达性。积极推进智慧旅游城市建设，搭建智慧旅游平台，推进形成一批智慧旅游景区、智慧旅游企业。建立全面、规范、系统的旅游标识系统。</w:t>
      </w:r>
    </w:p>
    <w:p>
      <w:pPr>
        <w:snapToGrid w:val="0"/>
        <w:ind w:firstLine="643"/>
        <w:rPr>
          <w:rFonts w:ascii="仿宋_GB2312" w:hAnsi="仿宋_GB2312" w:cs="仿宋_GB2312"/>
          <w:bCs/>
          <w:szCs w:val="30"/>
        </w:rPr>
      </w:pPr>
      <w:r>
        <w:rPr>
          <w:rFonts w:hint="eastAsia" w:ascii="仿宋_GB2312" w:hAnsi="仿宋_GB2312" w:cs="仿宋_GB2312"/>
          <w:b/>
          <w:bCs/>
          <w:szCs w:val="30"/>
        </w:rPr>
        <w:t>健全旅游发展保障体系，加大旅游用地保障力度。</w:t>
      </w:r>
      <w:r>
        <w:rPr>
          <w:rFonts w:hint="eastAsia" w:ascii="仿宋_GB2312" w:hAnsi="仿宋_GB2312" w:cs="仿宋_GB2312"/>
          <w:bCs/>
          <w:szCs w:val="30"/>
        </w:rPr>
        <w:t>对文化旅游相关项目的土地用途和用地总量进行科学合理地预测、规划和控制。合理安排一定比例的年度新增建设用地计划指标用于新增农村集体建设用地，支持“文化旅游+扶贫”或对乡村振兴具有示范带动作用的文化旅游项目建设。根据国家和地方相关政策，制定相应的全域旅游示范区建设用地保障制度，并积极探索旅游用地改革创新，开展差别化旅游供地政策，支持利用荒地、荒坡、荒滩、废弃矿山以及存量建设用地发展旅游产业。</w:t>
      </w:r>
    </w:p>
    <w:p>
      <w:pPr>
        <w:pStyle w:val="4"/>
        <w:numPr>
          <w:ilvl w:val="0"/>
          <w:numId w:val="13"/>
        </w:numPr>
        <w:tabs>
          <w:tab w:val="left" w:pos="360"/>
        </w:tabs>
        <w:spacing w:before="312" w:beforeLines="100" w:line="460" w:lineRule="exact"/>
        <w:ind w:left="0" w:firstLine="0"/>
        <w:rPr>
          <w:rFonts w:ascii="Times New Roman" w:hAnsi="Times New Roman"/>
        </w:rPr>
      </w:pPr>
      <w:bookmarkStart w:id="449" w:name="_Toc21086"/>
      <w:bookmarkStart w:id="450" w:name="_Toc8390"/>
      <w:bookmarkStart w:id="451" w:name="_Toc3528"/>
      <w:bookmarkStart w:id="452" w:name="_Toc17685"/>
      <w:bookmarkStart w:id="453" w:name="_Toc213018279"/>
      <w:bookmarkStart w:id="454" w:name="_Toc128144628"/>
      <w:r>
        <w:rPr>
          <w:rFonts w:hint="eastAsia" w:ascii="Times New Roman" w:hAnsi="Times New Roman"/>
        </w:rPr>
        <w:t>历史文化资源保护利用</w:t>
      </w:r>
      <w:bookmarkEnd w:id="449"/>
      <w:bookmarkEnd w:id="450"/>
      <w:bookmarkEnd w:id="451"/>
      <w:bookmarkEnd w:id="452"/>
      <w:bookmarkEnd w:id="453"/>
      <w:bookmarkEnd w:id="454"/>
    </w:p>
    <w:p>
      <w:pPr>
        <w:pStyle w:val="5"/>
        <w:numPr>
          <w:ilvl w:val="0"/>
          <w:numId w:val="5"/>
        </w:numPr>
        <w:spacing w:before="156" w:after="0" w:afterLines="0"/>
        <w:ind w:left="0" w:firstLine="640"/>
      </w:pPr>
      <w:r>
        <w:rPr>
          <w:rFonts w:hint="eastAsia"/>
        </w:rPr>
        <w:t>历史文化系统保护</w:t>
      </w:r>
    </w:p>
    <w:p>
      <w:pPr>
        <w:ind w:firstLine="643"/>
        <w:rPr>
          <w:rFonts w:ascii="仿宋_GB2312" w:hAnsi="仿宋_GB2312" w:cs="仿宋_GB2312"/>
        </w:rPr>
      </w:pPr>
      <w:r>
        <w:rPr>
          <w:rFonts w:hint="eastAsia" w:ascii="仿宋_GB2312" w:hAnsi="仿宋_GB2312" w:cs="仿宋_GB2312"/>
          <w:b/>
          <w:bCs/>
        </w:rPr>
        <w:t>健全完善历史文化保护名录。</w:t>
      </w:r>
      <w:r>
        <w:rPr>
          <w:rFonts w:hint="eastAsia" w:ascii="仿宋_GB2312" w:hAnsi="仿宋_GB2312" w:cs="仿宋_GB2312"/>
        </w:rPr>
        <w:t>构建涵盖历史街区、文物保护单位、文物点、历史建筑以及历史文化名镇、历史文化名村、传统村落、主要历史文化线路、主要山水形胜等要素的保护名录。</w:t>
      </w:r>
      <w:r>
        <w:rPr>
          <w:rFonts w:hint="eastAsia" w:ascii="仿宋_GB2312" w:hAnsi="仿宋_GB2312" w:cs="仿宋_GB2312"/>
          <w:bCs/>
        </w:rPr>
        <w:t>严格按照相关法律法规要求，</w:t>
      </w:r>
      <w:r>
        <w:rPr>
          <w:rFonts w:hint="eastAsia" w:ascii="仿宋_GB2312" w:hAnsi="仿宋_GB2312" w:cs="仿宋_GB2312"/>
          <w:b/>
          <w:bCs/>
          <w:u w:val="single"/>
        </w:rPr>
        <w:t>保护市域范围内既有的2个国家级历史文化名镇，2个自治区级历史文化名镇，9个国家级历史文化名村，13个自治区级历史文化名村，48个国家级传统村落，9</w:t>
      </w:r>
      <w:r>
        <w:rPr>
          <w:rFonts w:ascii="仿宋_GB2312" w:hAnsi="仿宋_GB2312" w:cs="仿宋_GB2312"/>
          <w:b/>
          <w:bCs/>
          <w:u w:val="single"/>
        </w:rPr>
        <w:t>5</w:t>
      </w:r>
      <w:r>
        <w:rPr>
          <w:rFonts w:hint="eastAsia" w:ascii="仿宋_GB2312" w:hAnsi="仿宋_GB2312" w:cs="仿宋_GB2312"/>
          <w:b/>
          <w:bCs/>
          <w:u w:val="single"/>
        </w:rPr>
        <w:t>个自治区级传统村落，197处文物保护单位，787处文物保护点及94处历史建筑。</w:t>
      </w:r>
    </w:p>
    <w:p>
      <w:pPr>
        <w:ind w:firstLine="643"/>
        <w:rPr>
          <w:rFonts w:ascii="仿宋_GB2312" w:hAnsi="仿宋_GB2312" w:cs="仿宋_GB2312"/>
        </w:rPr>
      </w:pPr>
      <w:r>
        <w:rPr>
          <w:rFonts w:hint="eastAsia" w:ascii="仿宋_GB2312" w:hAnsi="仿宋_GB2312" w:cs="仿宋_GB2312"/>
          <w:b/>
          <w:bCs/>
        </w:rPr>
        <w:t>加强自然山水保护。</w:t>
      </w:r>
      <w:r>
        <w:rPr>
          <w:rFonts w:hint="eastAsia" w:ascii="仿宋_GB2312" w:hAnsi="仿宋_GB2312" w:cs="仿宋_GB2312"/>
        </w:rPr>
        <w:t>保护好姑婆山、贺江、桂江、思勤江、富群江等山水形胜和生态景观环境。</w:t>
      </w:r>
    </w:p>
    <w:p>
      <w:pPr>
        <w:pStyle w:val="5"/>
        <w:numPr>
          <w:ilvl w:val="0"/>
          <w:numId w:val="5"/>
        </w:numPr>
        <w:spacing w:before="156" w:after="0" w:afterLines="0"/>
        <w:ind w:left="0" w:firstLine="640"/>
      </w:pPr>
      <w:r>
        <w:rPr>
          <w:rFonts w:hint="eastAsia"/>
        </w:rPr>
        <w:t>文物古迹保护</w:t>
      </w:r>
    </w:p>
    <w:p>
      <w:pPr>
        <w:ind w:firstLine="643"/>
        <w:rPr>
          <w:rFonts w:ascii="仿宋_GB2312" w:hAnsi="仿宋_GB2312" w:cs="仿宋_GB2312"/>
          <w:b/>
          <w:bCs/>
          <w:u w:val="single"/>
        </w:rPr>
      </w:pPr>
      <w:r>
        <w:rPr>
          <w:rFonts w:hint="eastAsia" w:ascii="仿宋_GB2312" w:hAnsi="仿宋_GB2312" w:cs="仿宋_GB2312"/>
          <w:b/>
          <w:bCs/>
          <w:u w:val="single"/>
        </w:rPr>
        <w:t>加强古遗址的研究和保护，重点保护好以点灯寨狮子岩遗址、富川横山遗址、上寺村铁屎岭铸钱遗址等为代表的遗址类文物保护单位。</w:t>
      </w:r>
    </w:p>
    <w:p>
      <w:pPr>
        <w:ind w:firstLine="643"/>
        <w:rPr>
          <w:rFonts w:ascii="仿宋_GB2312" w:hAnsi="仿宋_GB2312" w:cs="仿宋_GB2312"/>
          <w:b/>
          <w:bCs/>
          <w:u w:val="single"/>
        </w:rPr>
      </w:pPr>
      <w:r>
        <w:rPr>
          <w:rFonts w:hint="eastAsia" w:ascii="仿宋_GB2312" w:hAnsi="仿宋_GB2312" w:cs="仿宋_GB2312"/>
          <w:b/>
          <w:bCs/>
          <w:u w:val="single"/>
        </w:rPr>
        <w:t>加强古城址保护工作，以原真性保护为主，禁止保护范围内一切破坏古城址风貌的建设行为，并控制外围地区建设的协调性。重点保护好临贺故城、封阳石城等为代表的城址类文物保护单位。</w:t>
      </w:r>
      <w:r>
        <w:rPr>
          <w:rFonts w:hint="eastAsia" w:ascii="仿宋_GB2312" w:hAnsi="仿宋_GB2312" w:cs="仿宋_GB2312"/>
        </w:rPr>
        <w:t>适时开展古城墙遗址整治，拆除违章建筑，展示城墙遗址。</w:t>
      </w:r>
    </w:p>
    <w:p>
      <w:pPr>
        <w:ind w:firstLine="643"/>
        <w:rPr>
          <w:rFonts w:ascii="仿宋_GB2312" w:hAnsi="仿宋_GB2312" w:cs="仿宋_GB2312"/>
          <w:b/>
          <w:bCs/>
          <w:u w:val="single"/>
        </w:rPr>
      </w:pPr>
      <w:r>
        <w:rPr>
          <w:rFonts w:hint="eastAsia" w:ascii="仿宋_GB2312" w:hAnsi="仿宋_GB2312" w:cs="仿宋_GB2312"/>
          <w:b/>
          <w:bCs/>
          <w:u w:val="single"/>
        </w:rPr>
        <w:t>加强集中连片古墓葬区的保护，作出保护标识，划定成片保护范围和控制建设地带，严禁有碍文物保护的建设。对零星分布的古墓葬，作出保护标识，在墓葬周围划定保护范围和控制建设地带。对不可移动文物采取“保护第一”的文物保护原则，分清轻重，突出保护重点。</w:t>
      </w:r>
    </w:p>
    <w:p>
      <w:pPr>
        <w:ind w:firstLine="643"/>
        <w:rPr>
          <w:rFonts w:ascii="仿宋_GB2312" w:hAnsi="仿宋_GB2312" w:cs="仿宋_GB2312"/>
          <w:b/>
          <w:bCs/>
          <w:u w:val="single"/>
        </w:rPr>
      </w:pPr>
      <w:r>
        <w:rPr>
          <w:rFonts w:hint="eastAsia" w:ascii="仿宋_GB2312" w:hAnsi="仿宋_GB2312" w:cs="仿宋_GB2312"/>
          <w:b/>
          <w:bCs/>
          <w:u w:val="single"/>
        </w:rPr>
        <w:t>加强对以马殷庙、富川瑶族风雨桥群、江氏客家围屋为代表的古建筑，以合掌石石刻、碧云岩石刻为代表的石窟寺石刻，以英家古戏台、英家小学门楼为代表的近现代重要史迹及代表性建筑等文物保护单位的保护，作出保护标识，划定文物保护范围、建设控制地带</w:t>
      </w:r>
      <w:r>
        <w:rPr>
          <w:rFonts w:hint="eastAsia" w:ascii="仿宋_GB2312" w:hAnsi="仿宋_GB2312" w:cs="仿宋_GB2312"/>
          <w:bCs/>
          <w:u w:val="single"/>
        </w:rPr>
        <w:t>。</w:t>
      </w:r>
    </w:p>
    <w:p>
      <w:pPr>
        <w:pStyle w:val="2"/>
        <w:ind w:firstLine="643"/>
        <w:rPr>
          <w:rFonts w:ascii="仿宋_GB2312" w:hAnsi="仿宋_GB2312" w:cs="仿宋_GB2312"/>
        </w:rPr>
      </w:pPr>
      <w:r>
        <w:rPr>
          <w:rFonts w:hint="eastAsia" w:ascii="仿宋_GB2312" w:hAnsi="仿宋_GB2312" w:cs="仿宋_GB2312"/>
          <w:b/>
          <w:bCs/>
          <w:u w:val="single"/>
        </w:rPr>
        <w:t>对地下文物加强依法调查、勘探、考古发掘和保护工作，对新发现的文物继续划定保护范围和建设控制地带。对于大型基本建设，坚持先作文物考古勘探发掘、再论证能否进行建设。</w:t>
      </w:r>
    </w:p>
    <w:p>
      <w:pPr>
        <w:ind w:firstLine="643"/>
        <w:rPr>
          <w:rFonts w:ascii="仿宋_GB2312" w:hAnsi="仿宋_GB2312" w:cs="仿宋_GB2312"/>
        </w:rPr>
      </w:pPr>
      <w:r>
        <w:rPr>
          <w:rFonts w:hint="eastAsia" w:ascii="仿宋_GB2312" w:hAnsi="仿宋_GB2312" w:cs="仿宋_GB2312"/>
          <w:b/>
          <w:bCs/>
          <w:u w:val="single"/>
        </w:rPr>
        <w:t>加强潇贺古道和湘漓古道沿线历史遗存的维护和修缮。</w:t>
      </w:r>
      <w:r>
        <w:rPr>
          <w:rFonts w:hint="eastAsia" w:ascii="仿宋_GB2312" w:hAnsi="仿宋_GB2312" w:cs="仿宋_GB2312"/>
        </w:rPr>
        <w:t>合理组织旅游路线，充分挖掘古道历史文化资源，结合相关景点进行综合开发利用。</w:t>
      </w:r>
    </w:p>
    <w:p>
      <w:pPr>
        <w:pStyle w:val="2"/>
        <w:ind w:firstLine="643"/>
        <w:rPr>
          <w:rFonts w:ascii="仿宋_GB2312" w:hAnsi="仿宋_GB2312" w:cs="仿宋_GB2312"/>
        </w:rPr>
      </w:pPr>
      <w:r>
        <w:rPr>
          <w:rFonts w:hint="eastAsia" w:ascii="仿宋_GB2312" w:hAnsi="仿宋_GB2312" w:cs="仿宋_GB2312"/>
          <w:b/>
          <w:bCs/>
        </w:rPr>
        <w:t>加快对市域文物古迹的普查力度</w:t>
      </w:r>
      <w:r>
        <w:rPr>
          <w:rFonts w:hint="eastAsia" w:ascii="仿宋_GB2312" w:hAnsi="仿宋_GB2312" w:cs="仿宋_GB2312"/>
        </w:rPr>
        <w:t>。对尚未列入保护名单、但有保护价值的古迹、古建筑群和符合历史建筑标准的近现代优秀建筑及时列入保护名单。</w:t>
      </w:r>
    </w:p>
    <w:p>
      <w:pPr>
        <w:pStyle w:val="5"/>
        <w:numPr>
          <w:ilvl w:val="0"/>
          <w:numId w:val="5"/>
        </w:numPr>
        <w:spacing w:before="156" w:after="0" w:afterLines="0"/>
        <w:ind w:left="0" w:firstLine="640"/>
      </w:pPr>
      <w:r>
        <w:rPr>
          <w:rFonts w:hint="eastAsia"/>
        </w:rPr>
        <w:t>古镇古村保护</w:t>
      </w:r>
    </w:p>
    <w:p>
      <w:pPr>
        <w:ind w:firstLine="643"/>
        <w:rPr>
          <w:rFonts w:ascii="仿宋_GB2312" w:hAnsi="仿宋_GB2312" w:cs="仿宋_GB2312"/>
          <w:b/>
          <w:bCs/>
          <w:u w:val="single"/>
        </w:rPr>
      </w:pPr>
      <w:r>
        <w:rPr>
          <w:rFonts w:hint="eastAsia" w:ascii="仿宋_GB2312" w:hAnsi="仿宋_GB2312" w:cs="仿宋_GB2312"/>
          <w:b/>
          <w:bCs/>
          <w:u w:val="single"/>
        </w:rPr>
        <w:t>维护历史文化村镇的风貌，重点保护以黄姚古镇和秀水状元村为代表的历史文化名镇名村和列入国家、自治区保护名录的传统村落。</w:t>
      </w:r>
      <w:r>
        <w:rPr>
          <w:rFonts w:hint="eastAsia" w:ascii="仿宋_GB2312" w:hAnsi="仿宋_GB2312" w:cs="仿宋_GB2312"/>
        </w:rPr>
        <w:t>在潇贺古道沿线及富川瑶族自治县等古村古镇富集区域积极开展历史文化名镇名村及传统村落的调查申报工作。</w:t>
      </w:r>
    </w:p>
    <w:p>
      <w:pPr>
        <w:pStyle w:val="2"/>
        <w:ind w:firstLine="643"/>
        <w:rPr>
          <w:rFonts w:ascii="仿宋_GB2312" w:hAnsi="仿宋_GB2312" w:cs="仿宋_GB2312"/>
        </w:rPr>
      </w:pPr>
      <w:r>
        <w:rPr>
          <w:rFonts w:hint="eastAsia" w:ascii="仿宋_GB2312" w:hAnsi="仿宋_GB2312" w:cs="仿宋_GB2312"/>
          <w:b/>
          <w:bCs/>
          <w:u w:val="single"/>
        </w:rPr>
        <w:t>保护历史文化名镇整体空间环境，包括古镇的基本格局、整体风貌；保护文物古迹，重点保护临贺故城及贺街镇地下文物埋藏区，重点保护黄姚古镇明清古建筑物和古构筑物；保护与古镇历史文化密切相关的历史环境要素；保护和继承当地的非物质文化遗产。</w:t>
      </w:r>
      <w:r>
        <w:rPr>
          <w:rFonts w:hint="eastAsia" w:ascii="仿宋_GB2312" w:hAnsi="仿宋_GB2312" w:cs="仿宋_GB2312"/>
        </w:rPr>
        <w:t>各项建设应延续历史文脉和传统风貌，不得损害保护工作；切实保护文物古迹及历史环境等，不得造成破坏；建、构筑物使用功能应符合保护规划要求，使用过程必须安全、合理；健全防灾安全体系，对火灾及其他灾害产生的次生灾害应采取防治和补救措施；旅游活动和其他活动不得破坏传统历史环境，不得污染、破坏自然环境，防止无序和过度开发；促进古镇的有机更新，处理好保护和发展的关系。</w:t>
      </w:r>
    </w:p>
    <w:p>
      <w:pPr>
        <w:pStyle w:val="2"/>
        <w:ind w:firstLine="643"/>
        <w:rPr>
          <w:rFonts w:ascii="仿宋_GB2312" w:hAnsi="仿宋_GB2312" w:cs="仿宋_GB2312"/>
        </w:rPr>
      </w:pPr>
      <w:r>
        <w:rPr>
          <w:rFonts w:hint="eastAsia" w:ascii="仿宋_GB2312" w:hAnsi="仿宋_GB2312" w:cs="仿宋_GB2312"/>
          <w:b/>
          <w:bCs/>
          <w:u w:val="single"/>
        </w:rPr>
        <w:t>保护历史文化名村及传统村落整体空间环境和风貌；保护传统的村落格局和布局形态；保护具有文物价值的古文化遗址、古建筑、传统民居、石刻、古树名木、近现代重要史迹和代表性建筑；保护与村落历史文化密切相关的历史环境要素；保护和继承当地的非物质文化遗产。</w:t>
      </w:r>
      <w:r>
        <w:rPr>
          <w:rFonts w:hint="eastAsia" w:ascii="仿宋_GB2312" w:hAnsi="仿宋_GB2312" w:cs="仿宋_GB2312"/>
        </w:rPr>
        <w:t>村落中的各级文物保护单位按照国家有关文物保护的法律、法规的要求进行保护，保持其真实性；历史文化名村及列入国家和自治区级名录的传统村落按照国家历史文化名村保护的法律、法规进行保护；新建筑的高度、形式、体量、色彩等必须与村落的历史风貌相协调，建筑装饰装修必须保持传统的色彩；保持良好的自然生态环境，周围山体保持绿化，河道应定期清淤整治；保持原有的生活方式，改善古村落的环境、基础设施和居住条件，适度发展旅游和文化产业，防止无序和过度开发；安装符合村落特色的消防设施，古建筑应配置消防器材。</w:t>
      </w:r>
    </w:p>
    <w:p>
      <w:pPr>
        <w:pStyle w:val="5"/>
        <w:numPr>
          <w:ilvl w:val="0"/>
          <w:numId w:val="5"/>
        </w:numPr>
        <w:spacing w:before="156" w:after="0" w:afterLines="0"/>
        <w:ind w:left="0" w:firstLine="640"/>
      </w:pPr>
      <w:r>
        <w:rPr>
          <w:rFonts w:hint="eastAsia"/>
        </w:rPr>
        <w:t>历史文化街区保护</w:t>
      </w:r>
    </w:p>
    <w:p>
      <w:pPr>
        <w:ind w:firstLine="643"/>
        <w:rPr>
          <w:rFonts w:ascii="仿宋_GB2312" w:hAnsi="仿宋_GB2312" w:cs="仿宋_GB2312"/>
        </w:rPr>
      </w:pPr>
      <w:r>
        <w:rPr>
          <w:rFonts w:hint="eastAsia" w:ascii="仿宋_GB2312" w:hAnsi="仿宋_GB2312" w:cs="仿宋_GB2312"/>
          <w:b/>
        </w:rPr>
        <w:t>全面保护既有的3处历史文化街区</w:t>
      </w:r>
      <w:r>
        <w:rPr>
          <w:rFonts w:hint="eastAsia" w:ascii="仿宋_GB2312" w:hAnsi="仿宋_GB2312" w:cs="仿宋_GB2312"/>
          <w:bCs/>
        </w:rPr>
        <w:t>。</w:t>
      </w:r>
      <w:r>
        <w:rPr>
          <w:rFonts w:hint="eastAsia" w:ascii="仿宋_GB2312" w:hAnsi="仿宋_GB2312" w:cs="仿宋_GB2312"/>
          <w:b/>
          <w:u w:val="single"/>
        </w:rPr>
        <w:t>划定河东街历史文化街区、西约街历史文化街区、西湾电厂历史文化街区保护范围。</w:t>
      </w:r>
      <w:r>
        <w:rPr>
          <w:rFonts w:hint="eastAsia" w:ascii="仿宋_GB2312" w:hAnsi="仿宋_GB2312" w:cs="仿宋_GB2312"/>
        </w:rPr>
        <w:t>遵循历史风貌完整性原则、历史文化遗存和活态文化真实性原则以及保护、利用、展示相结合的原则，对历史文化街区进行整体性保护。</w:t>
      </w:r>
    </w:p>
    <w:p>
      <w:pPr>
        <w:pStyle w:val="5"/>
        <w:numPr>
          <w:ilvl w:val="0"/>
          <w:numId w:val="5"/>
        </w:numPr>
        <w:spacing w:before="156" w:after="0" w:afterLines="0"/>
        <w:ind w:left="0" w:firstLine="640"/>
      </w:pPr>
      <w:r>
        <w:rPr>
          <w:rFonts w:hint="eastAsia"/>
        </w:rPr>
        <w:t>历史建筑保护</w:t>
      </w:r>
    </w:p>
    <w:p>
      <w:pPr>
        <w:ind w:firstLine="643"/>
        <w:rPr>
          <w:rFonts w:ascii="仿宋_GB2312" w:hAnsi="仿宋_GB2312" w:cs="仿宋_GB2312"/>
        </w:rPr>
      </w:pPr>
      <w:r>
        <w:rPr>
          <w:rFonts w:hint="eastAsia" w:ascii="仿宋_GB2312" w:hAnsi="仿宋_GB2312" w:cs="仿宋_GB2312"/>
          <w:b/>
          <w:u w:val="single"/>
        </w:rPr>
        <w:t>保护以天一烟庄、西湾电厂大礼堂、“生记”饮食店旧址等为代表的94处历史建筑</w:t>
      </w:r>
      <w:r>
        <w:rPr>
          <w:rFonts w:hint="eastAsia" w:ascii="仿宋_GB2312" w:hAnsi="仿宋_GB2312" w:cs="仿宋_GB2312"/>
          <w:bCs/>
        </w:rPr>
        <w:t>。对历史建筑开展挂牌、测绘、建档工作，划定历史建筑的保护范围，必要时可划定建设控制地带，并分别提出建设活动控制要求。鼓励历史建筑活化利用，将历史建筑修缮与危旧房改造相结合，鼓励历史建筑产权人和使用人对历史建筑进行适度、合理的功能利用，切实提升居民的生活质量和水平。加快全市范围内的历史建筑的普查工作，分批公布历史建筑名录。</w:t>
      </w:r>
    </w:p>
    <w:p>
      <w:pPr>
        <w:pStyle w:val="5"/>
        <w:numPr>
          <w:ilvl w:val="0"/>
          <w:numId w:val="5"/>
        </w:numPr>
        <w:spacing w:before="156" w:after="0" w:afterLines="0"/>
        <w:ind w:left="0" w:firstLine="640"/>
      </w:pPr>
      <w:bookmarkStart w:id="455" w:name="_Toc20714_WPSOffice_Level2"/>
      <w:r>
        <w:rPr>
          <w:rFonts w:hint="eastAsia"/>
        </w:rPr>
        <w:t>历史文化保护线划定</w:t>
      </w:r>
    </w:p>
    <w:p>
      <w:pPr>
        <w:ind w:firstLine="643"/>
        <w:rPr>
          <w:rFonts w:ascii="仿宋_GB2312" w:hAnsi="仿宋_GB2312" w:cs="仿宋_GB2312"/>
          <w:b/>
          <w:u w:val="single"/>
        </w:rPr>
      </w:pPr>
      <w:r>
        <w:rPr>
          <w:rFonts w:hint="eastAsia" w:ascii="仿宋_GB2312" w:hAnsi="仿宋_GB2312" w:cs="仿宋_GB2312"/>
          <w:b/>
        </w:rPr>
        <w:t>统筹划定历史文化保护线。</w:t>
      </w:r>
      <w:r>
        <w:rPr>
          <w:rFonts w:hint="eastAsia" w:ascii="仿宋_GB2312" w:hAnsi="仿宋_GB2312" w:cs="仿宋_GB2312"/>
          <w:b/>
          <w:u w:val="single"/>
        </w:rPr>
        <w:t>将全市各级文物保护单位及文物点的保护范围和建设控制地带、历史文化名镇名村、历史文化街区、传统村落保护范围、地下文物埋藏区、历史建筑等历史文化遗存范围划定为历史文化保护线，维护历史文化遗存及其整体环境的真实性、完整性和安全性。</w:t>
      </w:r>
      <w:r>
        <w:rPr>
          <w:rFonts w:hint="eastAsia" w:ascii="仿宋_GB2312" w:hAnsi="仿宋_GB2312" w:cs="仿宋_GB2312"/>
        </w:rPr>
        <w:t>对历史文化保护线实行分类管理：自治区级以上历史文化名镇名村、传统村落、历史文化街区实行“定界”管理；县级及以上文物保护单位、文物点、市级历史建筑实行“名录”管理。</w:t>
      </w:r>
    </w:p>
    <w:p>
      <w:pPr>
        <w:pStyle w:val="5"/>
        <w:numPr>
          <w:ilvl w:val="0"/>
          <w:numId w:val="5"/>
        </w:numPr>
        <w:spacing w:before="156" w:after="0" w:afterLines="0"/>
        <w:ind w:left="0" w:firstLine="640"/>
      </w:pPr>
      <w:r>
        <w:rPr>
          <w:rFonts w:hint="eastAsia"/>
        </w:rPr>
        <w:t>非物质文化遗产保护利用</w:t>
      </w:r>
    </w:p>
    <w:p>
      <w:pPr>
        <w:ind w:firstLine="643"/>
        <w:rPr>
          <w:rFonts w:ascii="仿宋_GB2312" w:hAnsi="仿宋_GB2312" w:cs="仿宋_GB2312"/>
        </w:rPr>
      </w:pPr>
      <w:r>
        <w:rPr>
          <w:rFonts w:hint="eastAsia" w:ascii="仿宋_GB2312" w:hAnsi="仿宋_GB2312" w:cs="仿宋_GB2312"/>
          <w:b/>
          <w:bCs/>
        </w:rPr>
        <w:t>保护与传承县级以上非物质文化遗产代表性项目，推动历史文化保护传承和活化利用。</w:t>
      </w:r>
      <w:r>
        <w:rPr>
          <w:rFonts w:hint="eastAsia" w:ascii="仿宋_GB2312" w:hAnsi="仿宋_GB2312" w:cs="仿宋_GB2312"/>
        </w:rPr>
        <w:t>推进南岭瑶族文化（贺州）生态保护区建设，加强非物质文化遗产保护传承平台建设。深化普查建档工作，按照整体性与原真性原则，保护和传承瑶族盘王节、瑶族服饰、瑶族长鼓舞、瑶族蝴蝶歌等国家级非物质文化遗产代表性项目为代表的各类非物质文化遗产及与非物质文化遗产密切相关的自然与人文环境。</w:t>
      </w:r>
    </w:p>
    <w:p>
      <w:pPr>
        <w:ind w:firstLine="643"/>
        <w:rPr>
          <w:rFonts w:ascii="仿宋_GB2312" w:hAnsi="仿宋_GB2312" w:cs="仿宋_GB2312"/>
        </w:rPr>
      </w:pPr>
      <w:r>
        <w:rPr>
          <w:rFonts w:hint="eastAsia" w:ascii="仿宋_GB2312" w:hAnsi="仿宋_GB2312" w:cs="仿宋_GB2312"/>
          <w:b/>
          <w:bCs/>
        </w:rPr>
        <w:t>推进非物质文化遗产与潇贺古道文化旅游等融合发展。</w:t>
      </w:r>
      <w:r>
        <w:rPr>
          <w:rFonts w:hint="eastAsia" w:ascii="仿宋_GB2312" w:hAnsi="仿宋_GB2312" w:cs="仿宋_GB2312"/>
        </w:rPr>
        <w:t>结合潇贺古道保护和展示利用工作，深入发掘潇贺古道相关历史文化遗存，从民族文化、民俗文化、红色文化、历史文化等方面研究制定潇贺古道历史风貌的整治提升计划。</w:t>
      </w:r>
    </w:p>
    <w:p>
      <w:pPr>
        <w:pStyle w:val="4"/>
        <w:numPr>
          <w:ilvl w:val="0"/>
          <w:numId w:val="13"/>
        </w:numPr>
        <w:tabs>
          <w:tab w:val="left" w:pos="360"/>
        </w:tabs>
        <w:spacing w:before="156" w:beforeLines="50" w:line="460" w:lineRule="exact"/>
        <w:ind w:left="0" w:firstLine="0"/>
        <w:rPr>
          <w:rFonts w:ascii="Times New Roman" w:hAnsi="Times New Roman"/>
        </w:rPr>
      </w:pPr>
      <w:bookmarkStart w:id="456" w:name="_Toc213018280"/>
      <w:r>
        <w:rPr>
          <w:rFonts w:hint="eastAsia" w:ascii="Times New Roman" w:hAnsi="Times New Roman"/>
        </w:rPr>
        <w:t>城乡特色风貌</w:t>
      </w:r>
      <w:bookmarkEnd w:id="444"/>
      <w:bookmarkEnd w:id="445"/>
      <w:bookmarkEnd w:id="446"/>
      <w:bookmarkEnd w:id="447"/>
      <w:bookmarkEnd w:id="448"/>
      <w:bookmarkEnd w:id="455"/>
      <w:bookmarkEnd w:id="456"/>
    </w:p>
    <w:p>
      <w:pPr>
        <w:pStyle w:val="5"/>
        <w:numPr>
          <w:ilvl w:val="0"/>
          <w:numId w:val="5"/>
        </w:numPr>
        <w:spacing w:before="156" w:after="0" w:afterLines="0"/>
        <w:ind w:left="0" w:firstLine="640"/>
      </w:pPr>
      <w:r>
        <w:rPr>
          <w:rFonts w:hint="eastAsia"/>
        </w:rPr>
        <w:t>全域山水人文格局</w:t>
      </w:r>
    </w:p>
    <w:p>
      <w:pPr>
        <w:ind w:firstLine="643"/>
        <w:rPr>
          <w:rFonts w:ascii="仿宋_GB2312" w:hAnsi="仿宋_GB2312" w:cs="仿宋_GB2312"/>
          <w:szCs w:val="30"/>
        </w:rPr>
      </w:pPr>
      <w:r>
        <w:rPr>
          <w:rFonts w:hint="eastAsia" w:ascii="仿宋_GB2312" w:hAnsi="仿宋_GB2312" w:cs="仿宋_GB2312"/>
          <w:b/>
          <w:szCs w:val="30"/>
        </w:rPr>
        <w:t>强化人本空间营造，凸显城融山水总体空间格局。</w:t>
      </w:r>
      <w:r>
        <w:rPr>
          <w:rFonts w:hint="eastAsia" w:ascii="仿宋_GB2312" w:hAnsi="仿宋_GB2312" w:cs="仿宋_GB2312"/>
          <w:szCs w:val="30"/>
        </w:rPr>
        <w:t>市域范围以萌渚岭余脉、金鸡岭山脉、都庞岭余脉、大桂山和贺江、桂江山水格局为基底，挖掘积淀深厚的历史文化内涵。中心城区依托大钟山、贺江等强化营造现代集聚、层次丰富、标志突出的都市核心区景观特色，构建融山、水、田、城于一体，汇历史文化、健康休闲、生活宜居于一身的现代都市风貌，以</w:t>
      </w:r>
      <w:r>
        <w:rPr>
          <w:rFonts w:hint="eastAsia" w:ascii="仿宋_GB2312" w:hAnsi="仿宋_GB2312" w:cs="仿宋_GB2312"/>
        </w:rPr>
        <w:t>潇贺古道、长寿地域文化</w:t>
      </w:r>
      <w:r>
        <w:rPr>
          <w:rFonts w:hint="eastAsia" w:ascii="仿宋_GB2312" w:hAnsi="仿宋_GB2312" w:cs="仿宋_GB2312"/>
          <w:szCs w:val="30"/>
        </w:rPr>
        <w:t>为重点，凝练城镇色彩、建筑形态、城市肌理等控制要素，强化城市重要自然和交通廊道的都市景观界面引导，凸显风情潇贺古埠，山水养生寿城格局。</w:t>
      </w:r>
    </w:p>
    <w:p>
      <w:pPr>
        <w:pStyle w:val="5"/>
        <w:numPr>
          <w:ilvl w:val="0"/>
          <w:numId w:val="5"/>
        </w:numPr>
        <w:spacing w:before="156" w:after="0" w:afterLines="0"/>
        <w:ind w:left="0" w:firstLine="640"/>
      </w:pPr>
      <w:r>
        <w:rPr>
          <w:rFonts w:hint="eastAsia"/>
        </w:rPr>
        <w:t>重点城镇风貌管控</w:t>
      </w:r>
    </w:p>
    <w:p>
      <w:pPr>
        <w:ind w:firstLine="643"/>
        <w:rPr>
          <w:rFonts w:ascii="仿宋_GB2312" w:hAnsi="仿宋_GB2312" w:cs="仿宋_GB2312"/>
        </w:rPr>
      </w:pPr>
      <w:r>
        <w:rPr>
          <w:rFonts w:hint="eastAsia" w:ascii="仿宋_GB2312" w:hAnsi="仿宋_GB2312" w:cs="仿宋_GB2312"/>
          <w:b/>
          <w:bCs/>
        </w:rPr>
        <w:t>提升昭平县城、钟山县城、富川县城和信都片区特色化都市风貌。</w:t>
      </w:r>
      <w:r>
        <w:rPr>
          <w:rFonts w:hint="eastAsia" w:ascii="仿宋_GB2312" w:hAnsi="仿宋_GB2312" w:cs="仿宋_GB2312"/>
        </w:rPr>
        <w:t>昭平县城打造“长寿养生”“生态旅游”景观风貌，钟山县城重点打造现代产业新城风貌，富川县城打造具有壮瑶民族风情景观风貌，信都片区打造具有岭南特色的体现广西东融先行示范区门户的景观风貌。</w:t>
      </w:r>
    </w:p>
    <w:p>
      <w:pPr>
        <w:pStyle w:val="5"/>
        <w:numPr>
          <w:ilvl w:val="0"/>
          <w:numId w:val="5"/>
        </w:numPr>
        <w:spacing w:before="156" w:after="0" w:afterLines="0"/>
        <w:ind w:left="0" w:firstLine="640"/>
      </w:pPr>
      <w:r>
        <w:rPr>
          <w:rFonts w:hint="eastAsia"/>
        </w:rPr>
        <w:t>特色小城镇风貌塑造</w:t>
      </w:r>
    </w:p>
    <w:p>
      <w:pPr>
        <w:pStyle w:val="2"/>
        <w:ind w:firstLine="643"/>
        <w:rPr>
          <w:rFonts w:ascii="仿宋_GB2312" w:hAnsi="仿宋_GB2312" w:cs="仿宋_GB2312"/>
        </w:rPr>
      </w:pPr>
      <w:r>
        <w:rPr>
          <w:rFonts w:hint="eastAsia" w:ascii="仿宋_GB2312" w:hAnsi="仿宋_GB2312" w:cs="仿宋_GB2312"/>
          <w:b/>
          <w:bCs/>
        </w:rPr>
        <w:t>强化小城镇的特色风貌引导。</w:t>
      </w:r>
      <w:r>
        <w:rPr>
          <w:rFonts w:hint="eastAsia" w:ascii="仿宋_GB2312" w:hAnsi="仿宋_GB2312" w:cs="仿宋_GB2312"/>
        </w:rPr>
        <w:t>合理控制建设强度，保护本土人文和风貌特色，维护小城镇的整体山水格局、特色建筑形态和街巷尺度，塑造地域特色鲜明的城镇建筑风格。按照传统文化名镇、丘陵特色城镇、滨水特色城镇、田园特色城镇、山地特色城镇五种类型引导小城镇风貌建设。</w:t>
      </w:r>
    </w:p>
    <w:p>
      <w:pPr>
        <w:pStyle w:val="2"/>
        <w:ind w:firstLine="643"/>
        <w:rPr>
          <w:rFonts w:ascii="仿宋_GB2312" w:hAnsi="仿宋_GB2312" w:cs="仿宋_GB2312"/>
        </w:rPr>
      </w:pPr>
      <w:r>
        <w:rPr>
          <w:rFonts w:hint="eastAsia" w:ascii="仿宋_GB2312" w:hAnsi="仿宋_GB2312" w:cs="仿宋_GB2312"/>
          <w:b/>
          <w:bCs/>
        </w:rPr>
        <w:t>——传统文化名镇风貌。</w:t>
      </w:r>
      <w:r>
        <w:rPr>
          <w:rFonts w:hint="eastAsia" w:ascii="仿宋_GB2312" w:hAnsi="仿宋_GB2312" w:cs="仿宋_GB2312"/>
        </w:rPr>
        <w:t>强调历史文化的整体保护，重点保护文物古迹和特色民居建筑，控制建筑高度，塑造展示传统文化名镇的展示界面和公共空间。</w:t>
      </w:r>
    </w:p>
    <w:p>
      <w:pPr>
        <w:pStyle w:val="2"/>
        <w:ind w:firstLine="643"/>
        <w:rPr>
          <w:rFonts w:ascii="仿宋_GB2312" w:hAnsi="仿宋_GB2312" w:cs="仿宋_GB2312"/>
        </w:rPr>
      </w:pPr>
      <w:r>
        <w:rPr>
          <w:rFonts w:hint="eastAsia" w:ascii="仿宋_GB2312" w:hAnsi="仿宋_GB2312" w:cs="仿宋_GB2312"/>
          <w:b/>
          <w:bCs/>
        </w:rPr>
        <w:t>——丘陵特色城镇风貌。</w:t>
      </w:r>
      <w:r>
        <w:rPr>
          <w:rFonts w:hint="eastAsia" w:ascii="仿宋_GB2312" w:hAnsi="仿宋_GB2312" w:cs="仿宋_GB2312"/>
        </w:rPr>
        <w:t>保护层次丰富的特色城镇风貌，加强建筑与丘陵地貌相融合，控制建筑高度和建筑形态。</w:t>
      </w:r>
    </w:p>
    <w:p>
      <w:pPr>
        <w:pStyle w:val="2"/>
        <w:ind w:firstLine="643"/>
        <w:rPr>
          <w:rFonts w:ascii="仿宋_GB2312" w:hAnsi="仿宋_GB2312" w:cs="仿宋_GB2312"/>
        </w:rPr>
      </w:pPr>
      <w:r>
        <w:rPr>
          <w:rFonts w:hint="eastAsia" w:ascii="仿宋_GB2312" w:hAnsi="仿宋_GB2312" w:cs="仿宋_GB2312"/>
          <w:b/>
          <w:bCs/>
        </w:rPr>
        <w:t>——滨水特色城镇风貌。</w:t>
      </w:r>
      <w:r>
        <w:rPr>
          <w:rFonts w:hint="eastAsia" w:ascii="仿宋_GB2312" w:hAnsi="仿宋_GB2312" w:cs="仿宋_GB2312"/>
        </w:rPr>
        <w:t>严格控制和引导滨水地带建设，打造具有地域特色的滨水和公共空间，塑造宜人水乡的城镇风貌。</w:t>
      </w:r>
    </w:p>
    <w:p>
      <w:pPr>
        <w:pStyle w:val="2"/>
        <w:ind w:firstLine="643"/>
        <w:rPr>
          <w:rFonts w:ascii="仿宋_GB2312" w:hAnsi="仿宋_GB2312" w:cs="仿宋_GB2312"/>
        </w:rPr>
      </w:pPr>
      <w:r>
        <w:rPr>
          <w:rFonts w:hint="eastAsia" w:ascii="仿宋_GB2312" w:hAnsi="仿宋_GB2312" w:cs="仿宋_GB2312"/>
          <w:b/>
          <w:bCs/>
        </w:rPr>
        <w:t>——田园特色城镇风貌。</w:t>
      </w:r>
      <w:r>
        <w:rPr>
          <w:rFonts w:hint="eastAsia" w:ascii="仿宋_GB2312" w:hAnsi="仿宋_GB2312" w:cs="仿宋_GB2312"/>
        </w:rPr>
        <w:t>维护城镇与农田相间的空间格局，将农田景观与城镇建设融合，控制建筑高度和建筑形态。</w:t>
      </w:r>
    </w:p>
    <w:p>
      <w:pPr>
        <w:pStyle w:val="2"/>
        <w:ind w:firstLine="643"/>
        <w:rPr>
          <w:rFonts w:ascii="仿宋_GB2312" w:hAnsi="仿宋_GB2312" w:cs="仿宋_GB2312"/>
        </w:rPr>
      </w:pPr>
      <w:r>
        <w:rPr>
          <w:rFonts w:hint="eastAsia" w:ascii="仿宋_GB2312" w:hAnsi="仿宋_GB2312" w:cs="仿宋_GB2312"/>
          <w:b/>
          <w:bCs/>
        </w:rPr>
        <w:t>——山地特色城镇风貌。</w:t>
      </w:r>
      <w:r>
        <w:rPr>
          <w:rFonts w:hint="eastAsia" w:ascii="仿宋_GB2312" w:hAnsi="仿宋_GB2312" w:cs="仿宋_GB2312"/>
        </w:rPr>
        <w:t>引导城镇组团式发展，建筑布局注重与山地特色地形地貌相结合，塑造喀斯特地貌凸显的山地特色城镇风貌。</w:t>
      </w:r>
    </w:p>
    <w:p>
      <w:pPr>
        <w:pStyle w:val="5"/>
        <w:numPr>
          <w:ilvl w:val="0"/>
          <w:numId w:val="5"/>
        </w:numPr>
        <w:spacing w:before="156" w:after="0" w:afterLines="0"/>
        <w:ind w:left="0" w:firstLine="640"/>
      </w:pPr>
      <w:r>
        <w:rPr>
          <w:rFonts w:hint="eastAsia"/>
        </w:rPr>
        <w:t>乡村风貌指引</w:t>
      </w:r>
    </w:p>
    <w:p>
      <w:pPr>
        <w:ind w:firstLine="643"/>
        <w:rPr>
          <w:rFonts w:ascii="仿宋_GB2312" w:hAnsi="仿宋_GB2312" w:cs="仿宋_GB2312"/>
          <w:szCs w:val="30"/>
        </w:rPr>
      </w:pPr>
      <w:r>
        <w:rPr>
          <w:rFonts w:hint="eastAsia" w:ascii="仿宋_GB2312" w:hAnsi="仿宋_GB2312" w:cs="仿宋_GB2312"/>
          <w:b/>
          <w:szCs w:val="30"/>
        </w:rPr>
        <w:t>营造富有活力的魅力乡村。</w:t>
      </w:r>
      <w:r>
        <w:rPr>
          <w:rFonts w:hint="eastAsia" w:ascii="仿宋_GB2312" w:hAnsi="仿宋_GB2312" w:cs="仿宋_GB2312"/>
          <w:szCs w:val="30"/>
        </w:rPr>
        <w:t>以地域空间为基础，结合地域民族特色、历史文化特色和所处的环境等因素，形成山林田园生态风貌、岭南水乡风貌、传统村落风貌、</w:t>
      </w:r>
      <w:r>
        <w:rPr>
          <w:rFonts w:hint="eastAsia" w:ascii="仿宋_GB2312" w:hAnsi="仿宋_GB2312" w:cs="仿宋_GB2312"/>
        </w:rPr>
        <w:t>民族特色、城郊融合类</w:t>
      </w:r>
      <w:r>
        <w:rPr>
          <w:rFonts w:hint="eastAsia" w:ascii="仿宋_GB2312" w:hAnsi="仿宋_GB2312" w:cs="仿宋_GB2312"/>
          <w:szCs w:val="30"/>
        </w:rPr>
        <w:t>等五个风貌分区。依托乡村振兴做美乡村风貌工程，保障乡村的风貌优化空间用地。</w:t>
      </w:r>
    </w:p>
    <w:p>
      <w:pPr>
        <w:ind w:firstLine="643"/>
        <w:rPr>
          <w:rFonts w:ascii="仿宋_GB2312" w:hAnsi="仿宋_GB2312" w:cs="仿宋_GB2312"/>
          <w:szCs w:val="30"/>
        </w:rPr>
      </w:pPr>
      <w:r>
        <w:rPr>
          <w:rFonts w:hint="eastAsia" w:ascii="仿宋_GB2312" w:hAnsi="仿宋_GB2312" w:cs="仿宋_GB2312"/>
          <w:b/>
          <w:bCs/>
          <w:szCs w:val="30"/>
        </w:rPr>
        <w:t>——山林田园生态风貌区。</w:t>
      </w:r>
      <w:r>
        <w:rPr>
          <w:rFonts w:hint="eastAsia" w:ascii="仿宋_GB2312" w:hAnsi="仿宋_GB2312" w:cs="仿宋_GB2312"/>
          <w:szCs w:val="30"/>
        </w:rPr>
        <w:t>采用的建筑风格与色彩宜以生态、乡土风格为主，从建筑外观、色彩以及村庄整体的建筑风貌等方面综合考虑，与周边的山林田园等景观风貌相协调，体现贺州市喀斯特地形地貌特色。</w:t>
      </w:r>
    </w:p>
    <w:p>
      <w:pPr>
        <w:ind w:firstLine="643"/>
        <w:rPr>
          <w:rFonts w:ascii="仿宋_GB2312" w:hAnsi="仿宋_GB2312" w:cs="仿宋_GB2312"/>
          <w:szCs w:val="30"/>
        </w:rPr>
      </w:pPr>
      <w:r>
        <w:rPr>
          <w:rFonts w:hint="eastAsia" w:ascii="仿宋_GB2312" w:hAnsi="仿宋_GB2312" w:cs="仿宋_GB2312"/>
          <w:b/>
          <w:bCs/>
          <w:szCs w:val="30"/>
        </w:rPr>
        <w:t>——岭南水乡风貌区。</w:t>
      </w:r>
      <w:r>
        <w:rPr>
          <w:rFonts w:hint="eastAsia" w:ascii="仿宋_GB2312" w:hAnsi="仿宋_GB2312" w:cs="仿宋_GB2312"/>
          <w:szCs w:val="30"/>
        </w:rPr>
        <w:t>主要为潇贺古道沿线、贺江及其他河流周边的村庄，采用的建筑风格与色彩宜以岭南特色、生态乡村为主，协调其与水系的关系，展现岭南水乡特色建筑文化，体现水乡活力。</w:t>
      </w:r>
    </w:p>
    <w:p>
      <w:pPr>
        <w:ind w:firstLine="643"/>
        <w:rPr>
          <w:rFonts w:ascii="仿宋_GB2312" w:hAnsi="仿宋_GB2312" w:cs="仿宋_GB2312"/>
          <w:szCs w:val="30"/>
        </w:rPr>
      </w:pPr>
      <w:r>
        <w:rPr>
          <w:rFonts w:hint="eastAsia" w:ascii="仿宋_GB2312" w:hAnsi="仿宋_GB2312" w:cs="仿宋_GB2312"/>
          <w:b/>
          <w:bCs/>
          <w:szCs w:val="30"/>
        </w:rPr>
        <w:t>——传统村落风貌区。</w:t>
      </w:r>
      <w:r>
        <w:rPr>
          <w:rFonts w:hint="eastAsia" w:ascii="仿宋_GB2312" w:hAnsi="仿宋_GB2312" w:cs="仿宋_GB2312"/>
          <w:szCs w:val="30"/>
        </w:rPr>
        <w:t>主要为有众多历史价值建筑的村庄，采用的建筑色彩与建筑材料的风格特色应与周围环境的传统风貌韵味相协调，营造突出古朴厚重的村庄历史风貌氛围。</w:t>
      </w:r>
    </w:p>
    <w:p>
      <w:pPr>
        <w:pStyle w:val="2"/>
        <w:numPr>
          <w:ilvl w:val="255"/>
          <w:numId w:val="0"/>
        </w:numPr>
        <w:ind w:firstLine="643" w:firstLineChars="200"/>
        <w:rPr>
          <w:rFonts w:ascii="仿宋_GB2312" w:hAnsi="仿宋_GB2312" w:cs="仿宋_GB2312"/>
          <w:szCs w:val="30"/>
        </w:rPr>
      </w:pPr>
      <w:r>
        <w:rPr>
          <w:rFonts w:hint="eastAsia" w:ascii="仿宋_GB2312" w:hAnsi="仿宋_GB2312" w:cs="仿宋_GB2312"/>
          <w:b/>
          <w:bCs/>
          <w:szCs w:val="30"/>
        </w:rPr>
        <w:t>——民族特色风貌区。</w:t>
      </w:r>
      <w:r>
        <w:rPr>
          <w:rFonts w:hint="eastAsia" w:ascii="仿宋_GB2312" w:hAnsi="仿宋_GB2312" w:cs="仿宋_GB2312"/>
          <w:szCs w:val="30"/>
        </w:rPr>
        <w:t>保护现有的形态格局，适当进行开发建设。保护具有地域特征的传统建筑，新建建筑体现当地民族特色。</w:t>
      </w:r>
      <w:bookmarkStart w:id="457" w:name="_Toc23764"/>
    </w:p>
    <w:p>
      <w:pPr>
        <w:pStyle w:val="2"/>
        <w:ind w:firstLine="643"/>
        <w:rPr>
          <w:rFonts w:ascii="仿宋_GB2312" w:hAnsi="仿宋_GB2312" w:cs="仿宋_GB2312"/>
          <w:szCs w:val="30"/>
        </w:rPr>
      </w:pPr>
      <w:r>
        <w:rPr>
          <w:rFonts w:hint="eastAsia" w:ascii="仿宋_GB2312" w:hAnsi="仿宋_GB2312" w:cs="仿宋_GB2312"/>
          <w:b/>
          <w:bCs/>
          <w:szCs w:val="30"/>
        </w:rPr>
        <w:t>——城郊融合类风貌区。</w:t>
      </w:r>
      <w:r>
        <w:rPr>
          <w:rFonts w:hint="eastAsia" w:ascii="仿宋_GB2312" w:hAnsi="仿宋_GB2312" w:cs="仿宋_GB2312"/>
          <w:szCs w:val="30"/>
        </w:rPr>
        <w:t>加强与周边城镇产业、设施衔接，镇村共建共享，注重与周边城镇风貌协调融合</w:t>
      </w:r>
      <w:bookmarkEnd w:id="438"/>
      <w:bookmarkEnd w:id="439"/>
      <w:bookmarkEnd w:id="440"/>
      <w:bookmarkEnd w:id="441"/>
      <w:bookmarkEnd w:id="442"/>
      <w:bookmarkEnd w:id="443"/>
      <w:bookmarkEnd w:id="457"/>
      <w:r>
        <w:rPr>
          <w:rFonts w:hint="eastAsia" w:ascii="仿宋_GB2312" w:hAnsi="仿宋_GB2312" w:cs="仿宋_GB2312"/>
          <w:szCs w:val="30"/>
        </w:rPr>
        <w:t>。</w:t>
      </w:r>
    </w:p>
    <w:p>
      <w:pPr>
        <w:ind w:firstLine="720"/>
        <w:rPr>
          <w:rFonts w:eastAsia="黑体"/>
          <w:sz w:val="36"/>
          <w:szCs w:val="36"/>
          <w:lang w:val="zh-CN"/>
        </w:rPr>
      </w:pPr>
      <w:bookmarkStart w:id="458" w:name="_Toc8057"/>
      <w:bookmarkStart w:id="459" w:name="_Toc8325"/>
      <w:bookmarkStart w:id="460" w:name="_Toc24065"/>
      <w:bookmarkStart w:id="461" w:name="_Toc11921"/>
      <w:bookmarkStart w:id="462" w:name="_Toc15361"/>
      <w:bookmarkStart w:id="463" w:name="_Toc13621"/>
      <w:bookmarkStart w:id="464" w:name="_Toc3138"/>
      <w:bookmarkStart w:id="465" w:name="_Toc23319"/>
      <w:r>
        <w:rPr>
          <w:rFonts w:eastAsia="黑体"/>
          <w:sz w:val="36"/>
          <w:szCs w:val="36"/>
          <w:lang w:val="zh-CN"/>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r>
        <w:fldChar w:fldCharType="begin"/>
      </w:r>
      <w:r>
        <w:instrText xml:space="preserve"> HYPERLINK \l "_Toc32398" </w:instrText>
      </w:r>
      <w:r>
        <w:fldChar w:fldCharType="separate"/>
      </w:r>
      <w:bookmarkStart w:id="466" w:name="_Toc3444_WPSOffice_Level1"/>
      <w:bookmarkStart w:id="467" w:name="_Toc213018281"/>
      <w:r>
        <w:rPr>
          <w:rFonts w:hint="eastAsia" w:ascii="方正小标宋_GBK" w:hAnsi="方正小标宋_GBK" w:cs="方正小标宋_GBK"/>
          <w:szCs w:val="36"/>
          <w:lang w:val="zh-CN"/>
        </w:rPr>
        <w:t>公共服务和基础设施支撑体系</w:t>
      </w:r>
      <w:bookmarkEnd w:id="466"/>
      <w:bookmarkEnd w:id="467"/>
      <w:r>
        <w:rPr>
          <w:rFonts w:hint="eastAsia" w:ascii="方正小标宋_GBK" w:hAnsi="方正小标宋_GBK" w:cs="方正小标宋_GBK"/>
          <w:szCs w:val="36"/>
          <w:lang w:val="zh-CN"/>
        </w:rPr>
        <w:fldChar w:fldCharType="end"/>
      </w:r>
      <w:bookmarkEnd w:id="458"/>
      <w:bookmarkEnd w:id="459"/>
      <w:bookmarkEnd w:id="460"/>
      <w:bookmarkEnd w:id="461"/>
      <w:bookmarkEnd w:id="462"/>
      <w:bookmarkEnd w:id="463"/>
      <w:bookmarkEnd w:id="464"/>
      <w:bookmarkEnd w:id="465"/>
    </w:p>
    <w:p>
      <w:pPr>
        <w:pStyle w:val="4"/>
        <w:numPr>
          <w:ilvl w:val="0"/>
          <w:numId w:val="14"/>
        </w:numPr>
        <w:tabs>
          <w:tab w:val="left" w:pos="360"/>
        </w:tabs>
        <w:spacing w:before="156" w:beforeLines="50" w:line="460" w:lineRule="exact"/>
        <w:ind w:left="0" w:firstLine="0"/>
        <w:rPr>
          <w:rFonts w:ascii="Times New Roman" w:hAnsi="Times New Roman"/>
        </w:rPr>
      </w:pPr>
      <w:bookmarkStart w:id="468" w:name="_Toc31632"/>
      <w:bookmarkStart w:id="469" w:name="_Toc8676"/>
      <w:bookmarkStart w:id="470" w:name="_Toc32289"/>
      <w:bookmarkStart w:id="471" w:name="_Toc9368_WPSOffice_Level2"/>
      <w:bookmarkStart w:id="472" w:name="_Toc7357"/>
      <w:bookmarkStart w:id="473" w:name="_Toc213018282"/>
      <w:bookmarkStart w:id="474" w:name="_Toc128144631"/>
      <w:bookmarkStart w:id="475" w:name="_Toc14551"/>
      <w:bookmarkStart w:id="476" w:name="_Toc7162"/>
      <w:bookmarkStart w:id="477" w:name="_Toc8098"/>
      <w:bookmarkStart w:id="478" w:name="_Toc27579"/>
      <w:bookmarkStart w:id="479" w:name="_Toc19084"/>
      <w:bookmarkStart w:id="480" w:name="_Toc11559"/>
      <w:r>
        <w:rPr>
          <w:rFonts w:hint="eastAsia" w:ascii="Times New Roman" w:hAnsi="Times New Roman"/>
        </w:rPr>
        <w:t>公共服务设施体系</w:t>
      </w:r>
      <w:bookmarkEnd w:id="468"/>
      <w:bookmarkEnd w:id="469"/>
      <w:bookmarkEnd w:id="470"/>
      <w:bookmarkEnd w:id="471"/>
      <w:bookmarkEnd w:id="472"/>
      <w:bookmarkEnd w:id="473"/>
      <w:bookmarkEnd w:id="474"/>
    </w:p>
    <w:p>
      <w:pPr>
        <w:pStyle w:val="5"/>
        <w:numPr>
          <w:ilvl w:val="0"/>
          <w:numId w:val="5"/>
        </w:numPr>
        <w:spacing w:before="156" w:after="0" w:afterLines="0"/>
        <w:ind w:left="0" w:firstLine="640"/>
      </w:pPr>
      <w:r>
        <w:rPr>
          <w:rFonts w:hint="eastAsia"/>
        </w:rPr>
        <w:t>公共服务设施体系</w:t>
      </w:r>
    </w:p>
    <w:p>
      <w:pPr>
        <w:pStyle w:val="2"/>
        <w:ind w:firstLine="643"/>
        <w:rPr>
          <w:rFonts w:eastAsia="仿宋"/>
        </w:rPr>
      </w:pPr>
      <w:r>
        <w:rPr>
          <w:rFonts w:hint="eastAsia" w:ascii="仿宋_GB2312" w:hAnsi="仿宋_GB2312" w:cs="仿宋_GB2312"/>
          <w:b/>
        </w:rPr>
        <w:t>构建“市级—城区（县）级—乡镇级—社区级”城乡公共服务体系，促进城乡基本公共服务均等化。</w:t>
      </w:r>
      <w:r>
        <w:rPr>
          <w:rFonts w:hint="eastAsia" w:ascii="仿宋_GB2312" w:hAnsi="仿宋_GB2312" w:cs="仿宋_GB2312"/>
        </w:rPr>
        <w:t>市级主要满足全市居民较高层面的公共服务需求，集中布置于中心城区。城区（县）级满足城市居民中级层面的公共服务需求，同时承担一定独立的城市综合功能，主要围绕中心城区3个组团、4个市域副中心设置。充分考虑城乡一体化发展的诉求，乡镇级主要围绕6个县域中心城镇设置，按重点镇公共服务设施标准建设。社区、一般乡镇结合社区中心、镇区、集镇区配置，按城乡社区生活圈标准进行设置。</w:t>
      </w:r>
      <w:r>
        <w:rPr>
          <w:rFonts w:ascii="仿宋_GB2312" w:hAnsi="仿宋_GB2312" w:cs="仿宋_GB2312"/>
        </w:rPr>
        <w:t>乡村社区生活圈可根据实际，依托镇（乡）、行政村集中居民点，重点配置中小型生活生产服务要素，</w:t>
      </w:r>
      <w:r>
        <w:rPr>
          <w:rFonts w:hint="eastAsia" w:ascii="仿宋_GB2312" w:hAnsi="仿宋_GB2312" w:cs="仿宋_GB2312"/>
        </w:rPr>
        <w:t>满足</w:t>
      </w:r>
      <w:r>
        <w:rPr>
          <w:rFonts w:ascii="仿宋_GB2312" w:hAnsi="仿宋_GB2312" w:cs="仿宋_GB2312"/>
        </w:rPr>
        <w:t>乡村居民就近服务的基本需求</w:t>
      </w:r>
      <w:r>
        <w:rPr>
          <w:rFonts w:hint="eastAsia" w:ascii="仿宋_GB2312" w:hAnsi="仿宋_GB2312" w:cs="仿宋_GB2312"/>
        </w:rPr>
        <w:t>。</w:t>
      </w:r>
    </w:p>
    <w:p>
      <w:pPr>
        <w:pStyle w:val="5"/>
        <w:numPr>
          <w:ilvl w:val="0"/>
          <w:numId w:val="5"/>
        </w:numPr>
        <w:spacing w:before="156" w:after="0" w:afterLines="0"/>
        <w:ind w:left="0" w:firstLine="640"/>
      </w:pPr>
      <w:r>
        <w:rPr>
          <w:rFonts w:hint="eastAsia"/>
        </w:rPr>
        <w:t>市域教育设施规划</w:t>
      </w:r>
    </w:p>
    <w:p>
      <w:pPr>
        <w:ind w:firstLine="643"/>
        <w:rPr>
          <w:rFonts w:ascii="仿宋_GB2312" w:hAnsi="仿宋_GB2312" w:cs="仿宋_GB2312"/>
          <w:szCs w:val="30"/>
        </w:rPr>
      </w:pPr>
      <w:r>
        <w:rPr>
          <w:rFonts w:hint="eastAsia" w:ascii="仿宋_GB2312" w:hAnsi="仿宋_GB2312" w:cs="仿宋_GB2312"/>
          <w:b/>
          <w:szCs w:val="30"/>
        </w:rPr>
        <w:t>实现教育资源均衡，保障公平基础教育。</w:t>
      </w:r>
      <w:r>
        <w:rPr>
          <w:rFonts w:hint="eastAsia" w:ascii="仿宋_GB2312" w:hAnsi="仿宋_GB2312" w:cs="仿宋_GB2312"/>
          <w:szCs w:val="30"/>
        </w:rPr>
        <w:t>制定公平有效的入学保障机制，根据人口分布和教育设施资源分布，按照预留充分、建设有序原则，通过小校额，多布点，覆盖面广的模式，采用学区制、计算机派位等方式保障各年龄段适龄学生就近入学。针对农村边远山区、交通不便的地区要保留必要的小学和教学点。保障普通高中用地，每10万人口左右设置1所全日制普通高中，原则上集中到市、县城区兴办，推动教育设施集约化发展。市、县城区之外，在信都镇、黄姚镇各新建一所普通高中。</w:t>
      </w:r>
    </w:p>
    <w:p>
      <w:pPr>
        <w:ind w:firstLine="643"/>
        <w:rPr>
          <w:rFonts w:ascii="仿宋_GB2312" w:hAnsi="仿宋_GB2312" w:cs="仿宋_GB2312"/>
        </w:rPr>
      </w:pPr>
      <w:r>
        <w:rPr>
          <w:rFonts w:hint="eastAsia" w:ascii="仿宋_GB2312" w:hAnsi="仿宋_GB2312" w:cs="仿宋_GB2312"/>
          <w:b/>
          <w:szCs w:val="30"/>
        </w:rPr>
        <w:t>坚持“产教融合”推进职业教育特色发展。</w:t>
      </w:r>
      <w:r>
        <w:rPr>
          <w:rFonts w:hint="eastAsia" w:ascii="仿宋_GB2312" w:hAnsi="仿宋_GB2312" w:cs="仿宋_GB2312"/>
          <w:bCs/>
          <w:szCs w:val="30"/>
        </w:rPr>
        <w:t>重点推进生物医药、电子信息、矿产资源与材料工程等特色专业。每个区县结合地方特色合理设置并办好中职学校，中职教育与普通高中建议按5:5比例分配</w:t>
      </w:r>
      <w:r>
        <w:rPr>
          <w:rFonts w:hint="eastAsia" w:ascii="仿宋_GB2312" w:hAnsi="仿宋_GB2312" w:cs="仿宋_GB2312"/>
          <w:szCs w:val="30"/>
        </w:rPr>
        <w:t>。</w:t>
      </w:r>
    </w:p>
    <w:p>
      <w:pPr>
        <w:ind w:firstLine="643"/>
        <w:rPr>
          <w:rFonts w:ascii="仿宋_GB2312" w:hAnsi="仿宋_GB2312" w:cs="仿宋_GB2312"/>
        </w:rPr>
      </w:pPr>
      <w:r>
        <w:rPr>
          <w:rFonts w:hint="eastAsia" w:ascii="仿宋_GB2312" w:hAnsi="仿宋_GB2312" w:cs="仿宋_GB2312"/>
          <w:b/>
          <w:szCs w:val="30"/>
        </w:rPr>
        <w:t>推动高等教育高质量发展。</w:t>
      </w:r>
      <w:r>
        <w:rPr>
          <w:rFonts w:hint="eastAsia" w:ascii="仿宋_GB2312" w:hAnsi="仿宋_GB2312" w:cs="仿宋_GB2312"/>
        </w:rPr>
        <w:t>新建市本级职业技术学院。新建的本科院校、职业技术学院统一规划到高新技术产业开发区，并结合其他科研机构的设置，形成贺州市的区域性教育科研基地。</w:t>
      </w:r>
    </w:p>
    <w:p>
      <w:pPr>
        <w:pStyle w:val="2"/>
        <w:ind w:firstLine="643"/>
        <w:rPr>
          <w:rFonts w:ascii="仿宋_GB2312" w:hAnsi="仿宋_GB2312" w:cs="仿宋_GB2312"/>
        </w:rPr>
      </w:pPr>
      <w:r>
        <w:rPr>
          <w:rFonts w:hint="eastAsia" w:ascii="仿宋_GB2312" w:hAnsi="仿宋_GB2312" w:cs="仿宋_GB2312"/>
          <w:b/>
        </w:rPr>
        <w:t>加强特殊教育学校标准化建设，实现特殊教育社会福利化</w:t>
      </w:r>
      <w:r>
        <w:rPr>
          <w:rFonts w:hint="eastAsia" w:ascii="仿宋_GB2312" w:hAnsi="仿宋_GB2312" w:cs="仿宋_GB2312"/>
        </w:rPr>
        <w:t>。三类残疾儿童少年入学率达到95%以上；高中阶段毛入学率达到98%以上。原则上20万人口以上县（区）至少建设1所标准化寄宿制特殊教育学校，完善随班就读基地学校布点。新建市本级特殊教育学校，新建平桂区特殊教育学校，保留昭平、钟山、富川县城的特殊教育学校。</w:t>
      </w:r>
    </w:p>
    <w:p>
      <w:pPr>
        <w:pStyle w:val="5"/>
        <w:numPr>
          <w:ilvl w:val="0"/>
          <w:numId w:val="5"/>
        </w:numPr>
        <w:spacing w:before="156" w:after="0" w:afterLines="0"/>
        <w:ind w:left="0" w:firstLine="640"/>
      </w:pPr>
      <w:r>
        <w:rPr>
          <w:rFonts w:hint="eastAsia"/>
        </w:rPr>
        <w:t>市域文化设施规划</w:t>
      </w:r>
    </w:p>
    <w:bookmarkEnd w:id="475"/>
    <w:bookmarkEnd w:id="476"/>
    <w:bookmarkEnd w:id="477"/>
    <w:bookmarkEnd w:id="478"/>
    <w:bookmarkEnd w:id="479"/>
    <w:bookmarkEnd w:id="480"/>
    <w:p>
      <w:pPr>
        <w:ind w:firstLine="643"/>
        <w:rPr>
          <w:rFonts w:ascii="仿宋_GB2312" w:hAnsi="仿宋_GB2312" w:cs="仿宋_GB2312"/>
          <w:szCs w:val="30"/>
        </w:rPr>
      </w:pPr>
      <w:bookmarkStart w:id="481" w:name="_Toc17737"/>
      <w:bookmarkStart w:id="482" w:name="_Toc18714"/>
      <w:bookmarkStart w:id="483" w:name="_Toc8169"/>
      <w:bookmarkStart w:id="484" w:name="_Toc5380"/>
      <w:bookmarkStart w:id="485" w:name="_Toc4218"/>
      <w:bookmarkStart w:id="486" w:name="_Toc1039"/>
      <w:bookmarkStart w:id="487" w:name="_Toc32435"/>
      <w:bookmarkStart w:id="488" w:name="_Toc13460"/>
      <w:bookmarkStart w:id="489" w:name="_Toc19777"/>
      <w:bookmarkStart w:id="490" w:name="_Toc16378"/>
      <w:r>
        <w:rPr>
          <w:rFonts w:hint="eastAsia" w:ascii="仿宋_GB2312" w:hAnsi="仿宋_GB2312" w:cs="仿宋_GB2312"/>
          <w:b/>
          <w:bCs/>
          <w:szCs w:val="30"/>
        </w:rPr>
        <w:t>落实“市县有馆、乡镇有站、村屯有室”的建设目标。</w:t>
      </w:r>
      <w:r>
        <w:rPr>
          <w:rFonts w:hint="eastAsia" w:ascii="仿宋_GB2312" w:hAnsi="仿宋_GB2312" w:cs="仿宋_GB2312"/>
          <w:szCs w:val="30"/>
        </w:rPr>
        <w:t>在中心城区重点建设贺州市文化中心、贺州市会展中心、博物馆、图书馆、档案馆、城市规划馆、青少年活动中心，在昭平县、钟山县、富川瑶族自治县分别按“三馆三中心”（博物馆、图书馆、文化馆、儿童活动中心、青少年活动中心、老人活动中心）标准进行集中配置，乡镇（街道）设置综合文化站。结合贺州市民族、民俗文化等文化形态进行展馆建设，加强贺州市传统文化的保护和传承。</w:t>
      </w:r>
      <w:r>
        <w:rPr>
          <w:rFonts w:hint="eastAsia" w:ascii="仿宋_GB2312" w:hAnsi="仿宋_GB2312" w:cs="仿宋_GB2312"/>
        </w:rPr>
        <w:t>建设市级综合性非物质文化遗产保护展示中心，各县区建设</w:t>
      </w:r>
      <w:r>
        <w:rPr>
          <w:rFonts w:hint="eastAsia" w:ascii="仿宋_GB2312" w:hAnsi="仿宋_GB2312" w:cs="仿宋_GB2312"/>
          <w:szCs w:val="30"/>
        </w:rPr>
        <w:t>非物质文化遗产传承保护展示中心</w:t>
      </w:r>
      <w:r>
        <w:rPr>
          <w:rFonts w:hint="eastAsia" w:ascii="仿宋_GB2312" w:hAnsi="仿宋_GB2312" w:cs="仿宋_GB2312"/>
        </w:rPr>
        <w:t>，各乡镇利用区域内古民居、古建筑等建设文化展示馆或民俗馆。</w:t>
      </w:r>
    </w:p>
    <w:p>
      <w:pPr>
        <w:pStyle w:val="5"/>
        <w:numPr>
          <w:ilvl w:val="0"/>
          <w:numId w:val="5"/>
        </w:numPr>
        <w:spacing w:before="156" w:after="0" w:afterLines="0"/>
        <w:ind w:left="0" w:firstLine="640"/>
      </w:pPr>
      <w:r>
        <w:rPr>
          <w:rFonts w:hint="eastAsia"/>
        </w:rPr>
        <w:t>市域体育设施规划</w:t>
      </w:r>
    </w:p>
    <w:p>
      <w:pPr>
        <w:ind w:firstLine="643"/>
        <w:rPr>
          <w:rFonts w:ascii="仿宋_GB2312" w:hAnsi="仿宋_GB2312" w:cs="仿宋_GB2312"/>
          <w:szCs w:val="30"/>
        </w:rPr>
      </w:pPr>
      <w:r>
        <w:rPr>
          <w:rFonts w:hint="eastAsia" w:ascii="仿宋_GB2312" w:hAnsi="仿宋_GB2312" w:cs="仿宋_GB2312"/>
          <w:b/>
          <w:bCs/>
          <w:szCs w:val="30"/>
        </w:rPr>
        <w:t>完善四级公共体育设施。</w:t>
      </w:r>
      <w:r>
        <w:rPr>
          <w:rFonts w:hint="eastAsia" w:ascii="仿宋_GB2312" w:hAnsi="仿宋_GB2312" w:cs="仿宋_GB2312"/>
          <w:szCs w:val="30"/>
        </w:rPr>
        <w:t>到2035年，中心城区建设贺州姑婆山体育文化旅游项目（贺州姑婆山足球基地）1处，市级体育训练中心（含全民健身中心）1处，市级体育运动学校1处，市级全民健身中心1处，城区级综合体育中心4处，体育公园12处，沿贺江南堤北堤打造休闲健身步道。各县规划建设中型全民健身活动中心、体育馆、田径场、游泳馆（池）和体育公园、健身步道等设施；乡（镇）应建有篮球场、小型全民健身广场，其中桂岭镇、黄姚镇规划建设1处体育场和1处全民健身中心，为周边乡镇提供体育设施服务。推动城镇社区“15分钟健身圈”建设，建设贴近社区、方便可达的全民健身中心、多功能运动场、小型足球场、健身路径等设施。</w:t>
      </w:r>
    </w:p>
    <w:p>
      <w:pPr>
        <w:pStyle w:val="5"/>
        <w:numPr>
          <w:ilvl w:val="0"/>
          <w:numId w:val="5"/>
        </w:numPr>
        <w:spacing w:before="156" w:after="0" w:afterLines="0"/>
        <w:ind w:left="0" w:firstLine="640"/>
      </w:pPr>
      <w:r>
        <w:rPr>
          <w:rFonts w:hint="eastAsia"/>
        </w:rPr>
        <w:t>市域医疗设施规划</w:t>
      </w:r>
    </w:p>
    <w:p>
      <w:pPr>
        <w:ind w:firstLine="643"/>
        <w:rPr>
          <w:rFonts w:ascii="仿宋_GB2312" w:hAnsi="仿宋_GB2312" w:cs="仿宋_GB2312"/>
          <w:szCs w:val="30"/>
        </w:rPr>
      </w:pPr>
      <w:r>
        <w:rPr>
          <w:rFonts w:hint="eastAsia" w:ascii="仿宋_GB2312" w:hAnsi="仿宋_GB2312" w:cs="仿宋_GB2312"/>
          <w:b/>
          <w:szCs w:val="30"/>
        </w:rPr>
        <w:t>提升医疗设施综合配置水平。</w:t>
      </w:r>
      <w:r>
        <w:rPr>
          <w:rFonts w:hint="eastAsia" w:ascii="仿宋_GB2312" w:hAnsi="仿宋_GB2312" w:cs="仿宋_GB2312"/>
          <w:szCs w:val="30"/>
        </w:rPr>
        <w:t>到2035年，支持有条件的市办医院举办“一院多区”，加快推进</w:t>
      </w:r>
      <w:r>
        <w:rPr>
          <w:rFonts w:hint="eastAsia" w:ascii="仿宋_GB2312" w:hAnsi="仿宋_GB2312" w:cs="仿宋_GB2312"/>
        </w:rPr>
        <w:t>贺州市第五人民医院（市精神专科医院）扩建项目</w:t>
      </w:r>
      <w:r>
        <w:rPr>
          <w:rFonts w:hint="eastAsia" w:ascii="仿宋_GB2312" w:hAnsi="仿宋_GB2312" w:cs="仿宋_GB2312"/>
          <w:szCs w:val="30"/>
        </w:rPr>
        <w:t>等市专科医院建设，八步区规划2所区级综合医院、1所妇幼保健院、平桂区规划1所区级综合医院、1所妇幼保健院。昭平县、钟山县、富川瑶族自治县保留现状县级医院，原则上每个县可增加一个县办精神卫生专科医院；城区每个街道（或每3-10万人社区）规划设置1所政府或公立医疗卫生机构举办的标准化社区卫生服务中心；各乡镇配置1所乡镇卫生院，其中桂岭镇、黄姚镇、马江镇规划配置1所综合医院。</w:t>
      </w:r>
    </w:p>
    <w:p>
      <w:pPr>
        <w:pStyle w:val="2"/>
        <w:ind w:firstLine="643"/>
        <w:rPr>
          <w:rFonts w:ascii="仿宋_GB2312" w:hAnsi="仿宋_GB2312" w:cs="仿宋_GB2312"/>
        </w:rPr>
      </w:pPr>
      <w:r>
        <w:rPr>
          <w:rFonts w:hint="eastAsia" w:ascii="仿宋_GB2312" w:hAnsi="仿宋_GB2312" w:cs="仿宋_GB2312"/>
          <w:b/>
          <w:szCs w:val="30"/>
        </w:rPr>
        <w:t>打造医养结合示范基地。</w:t>
      </w:r>
      <w:r>
        <w:rPr>
          <w:rFonts w:hint="eastAsia" w:ascii="仿宋_GB2312" w:hAnsi="仿宋_GB2312" w:cs="仿宋_GB2312"/>
          <w:szCs w:val="30"/>
        </w:rPr>
        <w:t>在中心城区规划建设广济康复医养医院、贺州市第一养护院、贺州市第二养护院、华南民族养护院；在黄姚镇规划建设昭平县黄姚医养结合示范基地、东潭岭医养结合示范区；在富川瑶族自治县规划建设富川人民医院护理院。</w:t>
      </w:r>
    </w:p>
    <w:p>
      <w:pPr>
        <w:ind w:firstLine="643"/>
        <w:rPr>
          <w:rFonts w:ascii="仿宋_GB2312" w:hAnsi="仿宋_GB2312" w:cs="仿宋_GB2312"/>
          <w:szCs w:val="30"/>
        </w:rPr>
      </w:pPr>
      <w:r>
        <w:rPr>
          <w:rFonts w:hint="eastAsia" w:ascii="仿宋_GB2312" w:hAnsi="仿宋_GB2312" w:cs="仿宋_GB2312"/>
          <w:b/>
          <w:szCs w:val="30"/>
        </w:rPr>
        <w:t>完善婴幼儿照护服务体系，发展普惠优先、形式多样的托育服务设施。</w:t>
      </w:r>
      <w:r>
        <w:rPr>
          <w:rFonts w:hint="eastAsia" w:ascii="仿宋_GB2312" w:hAnsi="仿宋_GB2312" w:cs="仿宋_GB2312"/>
          <w:bCs/>
          <w:szCs w:val="30"/>
        </w:rPr>
        <w:t>到2035年，</w:t>
      </w:r>
      <w:r>
        <w:rPr>
          <w:rFonts w:hint="eastAsia" w:ascii="仿宋_GB2312" w:hAnsi="仿宋_GB2312" w:cs="仿宋_GB2312"/>
          <w:szCs w:val="30"/>
        </w:rPr>
        <w:t>依托市级妇幼保健机构建设贺州市婴幼儿照护服务指导中心，各县建成县级婴幼儿照护服务指导中心。建设公办托育服务和普惠托育服务设施，建成1所以上市级公办托育综合服务中心，各县（区）至少建成1所以上公办托育综合服务中心。推动社区建成一批社区普惠托育机构和单位工作场所的托育点。</w:t>
      </w:r>
    </w:p>
    <w:p>
      <w:pPr>
        <w:pStyle w:val="5"/>
        <w:numPr>
          <w:ilvl w:val="0"/>
          <w:numId w:val="5"/>
        </w:numPr>
        <w:spacing w:before="156" w:after="0" w:afterLines="0"/>
        <w:ind w:left="0" w:firstLine="640"/>
      </w:pPr>
      <w:r>
        <w:rPr>
          <w:rFonts w:hint="eastAsia"/>
        </w:rPr>
        <w:t>市域福利设施规划</w:t>
      </w:r>
    </w:p>
    <w:p>
      <w:pPr>
        <w:ind w:firstLine="643"/>
        <w:rPr>
          <w:rFonts w:ascii="仿宋_GB2312" w:hAnsi="仿宋_GB2312" w:cs="仿宋_GB2312"/>
          <w:szCs w:val="30"/>
        </w:rPr>
      </w:pPr>
      <w:r>
        <w:rPr>
          <w:rFonts w:hint="eastAsia" w:ascii="仿宋_GB2312" w:hAnsi="仿宋_GB2312" w:cs="仿宋_GB2312"/>
          <w:b/>
          <w:szCs w:val="30"/>
        </w:rPr>
        <w:t>完善社会福利服务体系，以居家养老为主，社会养老为辅。</w:t>
      </w:r>
      <w:r>
        <w:rPr>
          <w:rFonts w:hint="eastAsia" w:ascii="仿宋_GB2312" w:hAnsi="仿宋_GB2312" w:cs="仿宋_GB2312"/>
          <w:szCs w:val="30"/>
        </w:rPr>
        <w:t>到2035年，贺州市中心城区建设</w:t>
      </w:r>
      <w:r>
        <w:rPr>
          <w:rFonts w:hint="eastAsia" w:ascii="仿宋_GB2312" w:hAnsi="仿宋_GB2312" w:cs="仿宋_GB2312"/>
        </w:rPr>
        <w:t>市级福利设施</w:t>
      </w:r>
      <w:r>
        <w:rPr>
          <w:rFonts w:ascii="仿宋_GB2312" w:hAnsi="仿宋_GB2312" w:cs="仿宋_GB2312"/>
        </w:rPr>
        <w:t>4</w:t>
      </w:r>
      <w:r>
        <w:rPr>
          <w:rFonts w:hint="eastAsia" w:ascii="仿宋_GB2312" w:hAnsi="仿宋_GB2312" w:cs="仿宋_GB2312"/>
        </w:rPr>
        <w:t>处，市级民政福利医院1座；</w:t>
      </w:r>
      <w:r>
        <w:rPr>
          <w:rFonts w:hint="eastAsia" w:ascii="仿宋_GB2312" w:hAnsi="仿宋_GB2312" w:cs="仿宋_GB2312"/>
          <w:szCs w:val="30"/>
        </w:rPr>
        <w:t>各县（区）应设不少于1所200—500张床位的具有医养结合功能的县级供养服务机构；乡镇因地制宜统筹改（扩）建或新建1所50个床位以上的乡镇区域性养老服务中心。</w:t>
      </w:r>
    </w:p>
    <w:p>
      <w:pPr>
        <w:pStyle w:val="5"/>
        <w:numPr>
          <w:ilvl w:val="0"/>
          <w:numId w:val="5"/>
        </w:numPr>
        <w:spacing w:before="156" w:after="0" w:afterLines="0"/>
        <w:ind w:left="0" w:firstLine="640"/>
      </w:pPr>
      <w:r>
        <w:rPr>
          <w:rFonts w:hint="eastAsia"/>
        </w:rPr>
        <w:t>市域殡葬设施规划</w:t>
      </w:r>
    </w:p>
    <w:p>
      <w:pPr>
        <w:spacing w:before="120"/>
        <w:ind w:firstLine="643"/>
        <w:rPr>
          <w:rFonts w:ascii="仿宋_GB2312" w:hAnsi="仿宋_GB2312" w:cs="仿宋_GB2312"/>
        </w:rPr>
      </w:pPr>
      <w:r>
        <w:rPr>
          <w:rFonts w:hint="eastAsia" w:ascii="仿宋_GB2312" w:hAnsi="仿宋_GB2312" w:cs="仿宋_GB2312"/>
          <w:b/>
          <w:bCs/>
        </w:rPr>
        <w:t>提升殡葬服务供给能力。</w:t>
      </w:r>
      <w:r>
        <w:rPr>
          <w:rFonts w:hint="eastAsia" w:ascii="仿宋_GB2312" w:hAnsi="仿宋_GB2312" w:cs="仿宋_GB2312"/>
        </w:rPr>
        <w:t>每个市、县须建设1座殡仪馆；每个市、县（区）须建设1处公益性公墓。</w:t>
      </w:r>
    </w:p>
    <w:p>
      <w:pPr>
        <w:pStyle w:val="4"/>
        <w:numPr>
          <w:ilvl w:val="0"/>
          <w:numId w:val="14"/>
        </w:numPr>
        <w:tabs>
          <w:tab w:val="left" w:pos="360"/>
        </w:tabs>
        <w:spacing w:before="312" w:beforeLines="100" w:line="460" w:lineRule="exact"/>
        <w:ind w:left="0" w:firstLine="0"/>
        <w:rPr>
          <w:rFonts w:ascii="Times New Roman" w:hAnsi="Times New Roman"/>
        </w:rPr>
      </w:pPr>
      <w:bookmarkStart w:id="491" w:name="_Toc31823_WPSOffice_Level2"/>
      <w:bookmarkStart w:id="492" w:name="_Toc213018283"/>
      <w:r>
        <w:rPr>
          <w:rFonts w:hint="eastAsia" w:ascii="Times New Roman" w:hAnsi="Times New Roman"/>
        </w:rPr>
        <w:t>综合交通体系</w:t>
      </w:r>
      <w:bookmarkEnd w:id="481"/>
      <w:bookmarkEnd w:id="482"/>
      <w:bookmarkEnd w:id="483"/>
      <w:bookmarkEnd w:id="484"/>
      <w:bookmarkEnd w:id="485"/>
      <w:bookmarkEnd w:id="486"/>
      <w:bookmarkEnd w:id="487"/>
      <w:bookmarkEnd w:id="488"/>
      <w:bookmarkEnd w:id="489"/>
      <w:bookmarkEnd w:id="490"/>
      <w:bookmarkEnd w:id="491"/>
      <w:bookmarkEnd w:id="492"/>
    </w:p>
    <w:p>
      <w:pPr>
        <w:pStyle w:val="5"/>
        <w:numPr>
          <w:ilvl w:val="0"/>
          <w:numId w:val="5"/>
        </w:numPr>
        <w:spacing w:before="156" w:after="0" w:afterLines="0"/>
        <w:ind w:left="0" w:firstLine="640"/>
      </w:pPr>
      <w:r>
        <w:rPr>
          <w:rFonts w:hint="eastAsia"/>
        </w:rPr>
        <w:t>综合交通发展目标</w:t>
      </w:r>
    </w:p>
    <w:p>
      <w:pPr>
        <w:ind w:firstLine="643"/>
        <w:rPr>
          <w:rFonts w:ascii="仿宋_GB2312" w:hAnsi="仿宋_GB2312" w:cs="仿宋_GB2312"/>
        </w:rPr>
      </w:pPr>
      <w:r>
        <w:rPr>
          <w:rFonts w:hint="eastAsia" w:ascii="仿宋_GB2312" w:hAnsi="仿宋_GB2312" w:cs="仿宋_GB2312"/>
          <w:b/>
          <w:bCs/>
        </w:rPr>
        <w:t>构建贺州市面向粤港澳大湾区的综合运输大通道。</w:t>
      </w:r>
      <w:r>
        <w:rPr>
          <w:rFonts w:hint="eastAsia" w:ascii="仿宋_GB2312" w:hAnsi="仿宋_GB2312" w:cs="仿宋_GB2312"/>
        </w:rPr>
        <w:t>重点提升多层次东融通道服务水平，强化陆路优势，补齐航空、水运短板，建设便捷通畅、经济高效、绿色节约、智能先进、安全可靠的现代综合交通体系，推动综合交通运输体系高质量发展，实现“交通强市”发展目标。</w:t>
      </w:r>
    </w:p>
    <w:p>
      <w:pPr>
        <w:pStyle w:val="2"/>
        <w:ind w:firstLine="643"/>
        <w:rPr>
          <w:rFonts w:ascii="仿宋_GB2312" w:hAnsi="仿宋_GB2312" w:cs="仿宋_GB2312"/>
        </w:rPr>
      </w:pPr>
      <w:r>
        <w:rPr>
          <w:rFonts w:hint="eastAsia" w:ascii="仿宋_GB2312" w:hAnsi="仿宋_GB2312" w:cs="仿宋_GB2312"/>
          <w:b/>
          <w:bCs/>
        </w:rPr>
        <w:t>依托区域综合运输网络，形成以贺州市为中心的1234出行时圈。</w:t>
      </w:r>
      <w:r>
        <w:rPr>
          <w:rFonts w:hint="eastAsia" w:ascii="仿宋_GB2312" w:hAnsi="仿宋_GB2312" w:cs="仿宋_GB2312"/>
        </w:rPr>
        <w:t>即1小时到达全市域，2小时到达周边地级市和国际海港（广州市）、国际航空港（广州市、桂林市），3小时到达省会城市和主要经济区（北部湾、大湾区等），4小时到达中西部重要城市（长沙市、贵阳市等），以互联互通的大交通体系推进经济社会发展。</w:t>
      </w:r>
    </w:p>
    <w:p>
      <w:pPr>
        <w:pStyle w:val="5"/>
        <w:numPr>
          <w:ilvl w:val="0"/>
          <w:numId w:val="5"/>
        </w:numPr>
        <w:spacing w:before="156" w:after="0" w:afterLines="0"/>
        <w:ind w:left="0" w:firstLine="640"/>
      </w:pPr>
      <w:r>
        <w:rPr>
          <w:rFonts w:hint="eastAsia"/>
        </w:rPr>
        <w:t>综合交通发展策略</w:t>
      </w:r>
    </w:p>
    <w:p>
      <w:pPr>
        <w:pStyle w:val="2"/>
        <w:ind w:firstLine="643"/>
        <w:rPr>
          <w:rFonts w:ascii="仿宋_GB2312" w:hAnsi="仿宋_GB2312" w:cs="仿宋_GB2312"/>
        </w:rPr>
      </w:pPr>
      <w:r>
        <w:rPr>
          <w:rFonts w:hint="eastAsia" w:ascii="仿宋_GB2312" w:hAnsi="仿宋_GB2312" w:cs="仿宋_GB2312"/>
          <w:b/>
          <w:bCs/>
        </w:rPr>
        <w:t>通道引领，枢纽强市。</w:t>
      </w:r>
      <w:r>
        <w:rPr>
          <w:rFonts w:hint="eastAsia" w:ascii="仿宋_GB2312" w:hAnsi="仿宋_GB2312" w:cs="仿宋_GB2312"/>
        </w:rPr>
        <w:t>贺州市以东融粤港澳大湾区为重点，融入粤港澳—成渝主轴，形成以铁路、公路等构成的东西向运输通道；以南向北部湾经济区为重点，融入二湛通道，形成以铁路、公路、水路等为主要构成的南北通达运输通道，构建公、铁、水高水平联运枢纽体系。</w:t>
      </w:r>
    </w:p>
    <w:p>
      <w:pPr>
        <w:pStyle w:val="2"/>
        <w:ind w:firstLine="643"/>
        <w:rPr>
          <w:rFonts w:ascii="仿宋_GB2312" w:hAnsi="仿宋_GB2312" w:cs="仿宋_GB2312"/>
        </w:rPr>
      </w:pPr>
      <w:r>
        <w:rPr>
          <w:rFonts w:hint="eastAsia" w:ascii="仿宋_GB2312" w:hAnsi="仿宋_GB2312" w:cs="仿宋_GB2312"/>
          <w:b/>
          <w:bCs/>
        </w:rPr>
        <w:t>多式联运，高效运输。</w:t>
      </w:r>
      <w:r>
        <w:rPr>
          <w:rFonts w:hint="eastAsia" w:ascii="仿宋_GB2312" w:hAnsi="仿宋_GB2312" w:cs="仿宋_GB2312"/>
        </w:rPr>
        <w:t>规划通过推进智能化多式联运体系应用推广、加大多式联运通道集装箱航线和班列密度、建设“一单制”单证体系、运输装备标准化建设等措施提升多式联运效率和质量，发展多式联运业务，健全运输技术标准规范体系。</w:t>
      </w:r>
    </w:p>
    <w:p>
      <w:pPr>
        <w:pStyle w:val="2"/>
        <w:ind w:firstLine="643"/>
        <w:rPr>
          <w:rFonts w:ascii="仿宋_GB2312" w:hAnsi="仿宋_GB2312" w:cs="仿宋_GB2312"/>
          <w:b/>
          <w:bCs/>
        </w:rPr>
      </w:pPr>
      <w:r>
        <w:rPr>
          <w:rFonts w:hint="eastAsia" w:ascii="仿宋_GB2312" w:hAnsi="仿宋_GB2312" w:cs="仿宋_GB2312"/>
          <w:b/>
          <w:bCs/>
        </w:rPr>
        <w:t>市域一体、交通衔接。</w:t>
      </w:r>
      <w:r>
        <w:rPr>
          <w:rFonts w:hint="eastAsia" w:ascii="仿宋_GB2312" w:hAnsi="仿宋_GB2312" w:cs="仿宋_GB2312"/>
        </w:rPr>
        <w:t>规划以市域干线公路、建设“四好农村路”、建立物流三级布局等为抓手，强化中心城区与各乡镇快速交通联系，促进市域城乡一体化融合和全域旅游发展。</w:t>
      </w:r>
    </w:p>
    <w:p>
      <w:pPr>
        <w:pStyle w:val="5"/>
        <w:numPr>
          <w:ilvl w:val="0"/>
          <w:numId w:val="5"/>
        </w:numPr>
        <w:spacing w:before="156" w:after="0" w:afterLines="0"/>
        <w:ind w:left="0" w:firstLine="640"/>
      </w:pPr>
      <w:r>
        <w:rPr>
          <w:rFonts w:hint="eastAsia"/>
        </w:rPr>
        <w:t>市域综合交通格局</w:t>
      </w:r>
    </w:p>
    <w:p>
      <w:pPr>
        <w:pStyle w:val="2"/>
        <w:ind w:firstLine="643"/>
        <w:rPr>
          <w:rFonts w:ascii="仿宋_GB2312" w:hAnsi="仿宋_GB2312" w:cs="仿宋_GB2312"/>
        </w:rPr>
      </w:pPr>
      <w:r>
        <w:rPr>
          <w:rFonts w:hint="eastAsia" w:ascii="仿宋_GB2312" w:hAnsi="仿宋_GB2312" w:cs="仿宋_GB2312"/>
          <w:b/>
        </w:rPr>
        <w:t>规划“四机场、七铁路、十高、两航道”市域综合交通格局。</w:t>
      </w:r>
    </w:p>
    <w:p>
      <w:pPr>
        <w:ind w:firstLine="643"/>
        <w:rPr>
          <w:rFonts w:ascii="仿宋_GB2312" w:hAnsi="仿宋_GB2312" w:cs="仿宋_GB2312"/>
        </w:rPr>
      </w:pPr>
      <w:r>
        <w:rPr>
          <w:rFonts w:hint="eastAsia" w:ascii="仿宋_GB2312" w:hAnsi="仿宋_GB2312" w:cs="仿宋_GB2312"/>
          <w:b/>
        </w:rPr>
        <w:t>——“四机场”。</w:t>
      </w:r>
      <w:r>
        <w:rPr>
          <w:rFonts w:hint="eastAsia" w:ascii="仿宋_GB2312" w:hAnsi="仿宋_GB2312" w:cs="仿宋_GB2312"/>
        </w:rPr>
        <w:t>即1个民用机场（贺州民用机场）和3个通用机场（黄姚、钟山、富川3个通用机场）。</w:t>
      </w:r>
    </w:p>
    <w:p>
      <w:pPr>
        <w:ind w:firstLine="643"/>
        <w:rPr>
          <w:rFonts w:ascii="仿宋_GB2312" w:hAnsi="仿宋_GB2312" w:cs="仿宋_GB2312"/>
        </w:rPr>
      </w:pPr>
      <w:r>
        <w:rPr>
          <w:rFonts w:hint="eastAsia" w:ascii="仿宋_GB2312" w:hAnsi="仿宋_GB2312" w:cs="仿宋_GB2312"/>
          <w:b/>
        </w:rPr>
        <w:t>——“七铁路”。</w:t>
      </w:r>
      <w:r>
        <w:rPr>
          <w:rFonts w:hint="eastAsia" w:ascii="仿宋_GB2312" w:hAnsi="仿宋_GB2312" w:cs="仿宋_GB2312"/>
        </w:rPr>
        <w:t>即“四高三普”七条干线铁路网络。</w:t>
      </w:r>
    </w:p>
    <w:p>
      <w:pPr>
        <w:ind w:firstLine="643"/>
        <w:rPr>
          <w:rFonts w:ascii="仿宋_GB2312" w:hAnsi="仿宋_GB2312" w:cs="仿宋_GB2312"/>
        </w:rPr>
      </w:pPr>
      <w:r>
        <w:rPr>
          <w:rFonts w:hint="eastAsia" w:ascii="仿宋_GB2312" w:hAnsi="仿宋_GB2312" w:cs="仿宋_GB2312"/>
          <w:b/>
        </w:rPr>
        <w:t>——“十高”。</w:t>
      </w:r>
      <w:r>
        <w:rPr>
          <w:rFonts w:hint="eastAsia" w:ascii="仿宋_GB2312" w:hAnsi="仿宋_GB2312" w:cs="仿宋_GB2312"/>
        </w:rPr>
        <w:t>即“四横三纵二联一环”高速公路网络。</w:t>
      </w:r>
    </w:p>
    <w:p>
      <w:pPr>
        <w:ind w:firstLine="643"/>
        <w:rPr>
          <w:rFonts w:ascii="仿宋_GB2312" w:hAnsi="仿宋_GB2312" w:cs="仿宋_GB2312"/>
        </w:rPr>
      </w:pPr>
      <w:r>
        <w:rPr>
          <w:rFonts w:hint="eastAsia" w:ascii="仿宋_GB2312" w:hAnsi="仿宋_GB2312" w:cs="仿宋_GB2312"/>
          <w:b/>
        </w:rPr>
        <w:t>——“两航道”。</w:t>
      </w:r>
      <w:r>
        <w:rPr>
          <w:rFonts w:hint="eastAsia" w:ascii="仿宋_GB2312" w:hAnsi="仿宋_GB2312" w:cs="仿宋_GB2312"/>
        </w:rPr>
        <w:t>即桂江扩能工程和贺江复航扩能工程两条水运航道。</w:t>
      </w:r>
    </w:p>
    <w:p>
      <w:pPr>
        <w:pStyle w:val="5"/>
        <w:numPr>
          <w:ilvl w:val="0"/>
          <w:numId w:val="5"/>
        </w:numPr>
        <w:spacing w:before="156" w:after="0" w:afterLines="0"/>
        <w:ind w:left="0" w:firstLine="640"/>
        <w:rPr>
          <w:lang w:val="zh-CN"/>
        </w:rPr>
      </w:pPr>
      <w:r>
        <w:rPr>
          <w:rFonts w:hint="eastAsia"/>
          <w:lang w:val="zh-CN"/>
        </w:rPr>
        <w:t>航空</w:t>
      </w:r>
    </w:p>
    <w:p>
      <w:pPr>
        <w:ind w:firstLine="643"/>
        <w:rPr>
          <w:rFonts w:ascii="仿宋_GB2312" w:hAnsi="仿宋_GB2312" w:cs="仿宋_GB2312"/>
          <w:bCs/>
        </w:rPr>
      </w:pPr>
      <w:r>
        <w:rPr>
          <w:rFonts w:hint="eastAsia" w:ascii="仿宋_GB2312" w:hAnsi="仿宋_GB2312" w:cs="仿宋_GB2312"/>
          <w:b/>
        </w:rPr>
        <w:t>构建“1+3”机场体系。</w:t>
      </w:r>
      <w:r>
        <w:rPr>
          <w:rFonts w:hint="eastAsia" w:ascii="仿宋_GB2312" w:hAnsi="仿宋_GB2312" w:cs="仿宋_GB2312"/>
        </w:rPr>
        <w:t>规划建设贺州民用机场，按飞行区等级4</w:t>
      </w:r>
      <w:r>
        <w:rPr>
          <w:rFonts w:hint="eastAsia" w:ascii="宋体" w:hAnsi="宋体" w:eastAsia="宋体" w:cs="宋体"/>
        </w:rPr>
        <w:t>C</w:t>
      </w:r>
      <w:r>
        <w:rPr>
          <w:rFonts w:hint="eastAsia" w:ascii="仿宋_GB2312" w:hAnsi="仿宋_GB2312" w:cs="仿宋_GB2312"/>
        </w:rPr>
        <w:t>标准建设，推动干支有效衔接，推进贺州民用机场与南宁、桂林、广州机场的高效衔接。规划在昭平县黄姚镇、钟山县、富川瑶族自治县建设3个通用机场，按A1类通用机场、飞行等级为2</w:t>
      </w:r>
      <w:r>
        <w:rPr>
          <w:rFonts w:hint="eastAsia" w:ascii="宋体" w:hAnsi="宋体" w:eastAsia="宋体" w:cs="宋体"/>
        </w:rPr>
        <w:t>B</w:t>
      </w:r>
      <w:r>
        <w:rPr>
          <w:rFonts w:hint="eastAsia" w:ascii="仿宋_GB2312" w:hAnsi="仿宋_GB2312" w:cs="仿宋_GB2312"/>
        </w:rPr>
        <w:t>标准建设</w:t>
      </w:r>
      <w:r>
        <w:rPr>
          <w:rFonts w:hint="eastAsia" w:ascii="仿宋_GB2312" w:hAnsi="仿宋_GB2312" w:cs="仿宋_GB2312"/>
          <w:bCs/>
        </w:rPr>
        <w:t>。</w:t>
      </w:r>
    </w:p>
    <w:p>
      <w:pPr>
        <w:pStyle w:val="5"/>
        <w:numPr>
          <w:ilvl w:val="0"/>
          <w:numId w:val="5"/>
        </w:numPr>
        <w:spacing w:before="156" w:after="0" w:afterLines="0"/>
        <w:ind w:left="0" w:firstLine="640"/>
      </w:pPr>
      <w:r>
        <w:rPr>
          <w:rFonts w:hint="eastAsia"/>
        </w:rPr>
        <w:t>铁路</w:t>
      </w:r>
    </w:p>
    <w:p>
      <w:pPr>
        <w:ind w:firstLine="643"/>
        <w:rPr>
          <w:rFonts w:ascii="仿宋_GB2312" w:hAnsi="仿宋_GB2312" w:cs="仿宋_GB2312"/>
          <w:bCs/>
        </w:rPr>
      </w:pPr>
      <w:r>
        <w:rPr>
          <w:rFonts w:hint="eastAsia" w:ascii="仿宋_GB2312" w:hAnsi="仿宋_GB2312" w:cs="仿宋_GB2312"/>
          <w:b/>
        </w:rPr>
        <w:t>七条干线铁路网络。</w:t>
      </w:r>
      <w:r>
        <w:rPr>
          <w:rFonts w:hint="eastAsia" w:ascii="仿宋_GB2312" w:hAnsi="仿宋_GB2312" w:cs="仿宋_GB2312"/>
          <w:bCs/>
        </w:rPr>
        <w:t>规划形成“四高三普”7条干线铁路网络。“四高”即现状贵阳至广州铁路、规划柳州至贺州城际铁路、贺州至梧州城际铁路、京广二通道（贺州联络线）高铁；“三普”即现状益湛铁路、规划渝粤铁路（桂林经贺州至肇庆段）、柳州经贺州至韶关铁路。</w:t>
      </w:r>
    </w:p>
    <w:p>
      <w:pPr>
        <w:ind w:firstLine="643"/>
        <w:rPr>
          <w:rFonts w:ascii="仿宋_GB2312" w:hAnsi="仿宋_GB2312" w:cs="仿宋_GB2312"/>
        </w:rPr>
      </w:pPr>
      <w:r>
        <w:rPr>
          <w:rFonts w:hint="eastAsia" w:ascii="仿宋_GB2312" w:hAnsi="仿宋_GB2312" w:cs="仿宋_GB2312"/>
          <w:b/>
        </w:rPr>
        <w:t>三条旅游支线铁路。</w:t>
      </w:r>
      <w:r>
        <w:rPr>
          <w:rFonts w:hint="eastAsia" w:ascii="仿宋_GB2312" w:hAnsi="仿宋_GB2312" w:cs="仿宋_GB2312"/>
          <w:bCs/>
        </w:rPr>
        <w:t>开通旅游铁路专线，规划贺州至姑婆山磁悬浮专列支线、贺州至南乡支线和贺州至黄姚（昭平）支线3条旅游支线铁路，强化贺州市中心城区与姑婆山片区、南乡镇、黄姚镇的衔接，提升贺州市旅游业高品质发展。</w:t>
      </w:r>
    </w:p>
    <w:p>
      <w:pPr>
        <w:ind w:firstLine="643"/>
        <w:rPr>
          <w:rFonts w:ascii="仿宋_GB2312" w:hAnsi="仿宋_GB2312" w:cs="仿宋_GB2312"/>
        </w:rPr>
      </w:pPr>
      <w:r>
        <w:rPr>
          <w:rFonts w:hint="eastAsia" w:ascii="仿宋_GB2312" w:hAnsi="仿宋_GB2312" w:cs="仿宋_GB2312"/>
          <w:b/>
        </w:rPr>
        <w:t>四条产业支线铁路。</w:t>
      </w:r>
      <w:r>
        <w:rPr>
          <w:rFonts w:hint="eastAsia" w:ascii="仿宋_GB2312" w:hAnsi="仿宋_GB2312" w:cs="仿宋_GB2312"/>
          <w:bCs/>
        </w:rPr>
        <w:t>依托现有港口作业区和工业园区，规划贺江贺街作业区专用线、贺江信都作业区专用线、</w:t>
      </w:r>
      <w:r>
        <w:rPr>
          <w:rFonts w:hint="eastAsia" w:ascii="仿宋_GB2312" w:hAnsi="仿宋_GB2312" w:cs="仿宋_GB2312"/>
        </w:rPr>
        <w:t>贺州里松新型材料加工园区铁路专用线和中资控股钟山铁路专用线4条产业支线铁路，实现主要港口作业区和工业园区铁路运输集疏运。</w:t>
      </w:r>
    </w:p>
    <w:p>
      <w:pPr>
        <w:pStyle w:val="5"/>
        <w:numPr>
          <w:ilvl w:val="0"/>
          <w:numId w:val="5"/>
        </w:numPr>
        <w:spacing w:before="156" w:after="0" w:afterLines="0"/>
        <w:ind w:left="0" w:firstLine="640"/>
      </w:pPr>
      <w:r>
        <w:rPr>
          <w:rFonts w:hint="eastAsia"/>
        </w:rPr>
        <w:t>公路</w:t>
      </w:r>
    </w:p>
    <w:p>
      <w:pPr>
        <w:ind w:firstLine="643"/>
        <w:rPr>
          <w:rFonts w:ascii="仿宋_GB2312" w:hAnsi="仿宋_GB2312" w:cs="仿宋_GB2312"/>
        </w:rPr>
      </w:pPr>
      <w:r>
        <w:rPr>
          <w:rFonts w:hint="eastAsia" w:ascii="仿宋_GB2312" w:hAnsi="仿宋_GB2312" w:cs="仿宋_GB2312"/>
          <w:b/>
          <w:szCs w:val="30"/>
        </w:rPr>
        <w:t>完善高速公路网络体系。</w:t>
      </w:r>
      <w:r>
        <w:rPr>
          <w:rFonts w:hint="eastAsia" w:ascii="仿宋_GB2312" w:hAnsi="仿宋_GB2312" w:cs="仿宋_GB2312"/>
        </w:rPr>
        <w:t>规划形成“四横三纵二联一环”的高速路网布局，全面对接粤港澳大湾区新通道，提高与周边省市基础设施互联互通水平。</w:t>
      </w:r>
    </w:p>
    <w:p>
      <w:pPr>
        <w:ind w:firstLine="640"/>
        <w:rPr>
          <w:rFonts w:ascii="仿宋_GB2312" w:hAnsi="仿宋_GB2312" w:cs="仿宋_GB2312"/>
        </w:rPr>
      </w:pPr>
      <w:r>
        <w:rPr>
          <w:rFonts w:hint="eastAsia" w:ascii="仿宋_GB2312" w:hAnsi="仿宋_GB2312" w:cs="仿宋_GB2312"/>
        </w:rPr>
        <w:t>规划在现状汕昆高速、包茂高速、贺巴高速、信梧高速的基础上，新建城北经朝东至桃川高速、桂林经恭城至钟山高速、永贺高速贺州支线（贺州北过境线）、永州经贺州至韶关高速、连山至贺州高速、信都至大宁高速、信都至广东南丰高速、广宁经苍梧至昭平高速、昭平至平南高速、平乐至昭平高速，规划推动对G78汕昆高速阳朔至灵峰段的改扩建工程。</w:t>
      </w:r>
    </w:p>
    <w:p>
      <w:pPr>
        <w:spacing w:before="156" w:beforeLines="50" w:after="156" w:afterLines="50"/>
        <w:ind w:firstLine="643"/>
        <w:rPr>
          <w:rFonts w:ascii="仿宋_GB2312" w:hAnsi="仿宋_GB2312" w:cs="仿宋_GB2312"/>
        </w:rPr>
      </w:pPr>
      <w:r>
        <w:rPr>
          <w:rFonts w:hint="eastAsia" w:ascii="仿宋_GB2312" w:hAnsi="仿宋_GB2312" w:cs="仿宋_GB2312"/>
          <w:b/>
          <w:szCs w:val="30"/>
        </w:rPr>
        <w:t>推动干线公路扩能提级。</w:t>
      </w:r>
      <w:r>
        <w:rPr>
          <w:rFonts w:hint="eastAsia" w:ascii="仿宋_GB2312" w:hAnsi="仿宋_GB2312" w:cs="仿宋_GB2312"/>
        </w:rPr>
        <w:t>进一步完善区域交通干线网络布局，带动区域旅游、产业发展，重点对境内G207、G323、G355、G538、G241、S201、S302、S503等8条国省干线临近景区、产业园及城镇局部路段进行改扩建，带动区域旅游、产业发展。</w:t>
      </w:r>
    </w:p>
    <w:p>
      <w:pPr>
        <w:ind w:firstLine="643"/>
        <w:rPr>
          <w:rFonts w:ascii="仿宋_GB2312" w:hAnsi="仿宋_GB2312" w:cs="仿宋_GB2312"/>
        </w:rPr>
      </w:pPr>
      <w:r>
        <w:rPr>
          <w:rFonts w:hint="eastAsia" w:ascii="仿宋_GB2312" w:hAnsi="仿宋_GB2312" w:cs="仿宋_GB2312"/>
          <w:b/>
          <w:szCs w:val="30"/>
        </w:rPr>
        <w:t>推动乡村公路联网升级。</w:t>
      </w:r>
      <w:r>
        <w:rPr>
          <w:rFonts w:hint="eastAsia" w:ascii="仿宋_GB2312" w:hAnsi="仿宋_GB2312" w:cs="仿宋_GB2312"/>
        </w:rPr>
        <w:t>合理布局旅游路、产业路、资源路，深化农村公路提级改造工程，建设“四好农村路”，打造乡村振兴公路网。规划乡乡通二级公路，在已有国省道骨干线网提级改造的情况下，继续完善二级公路网络，对未通二级以上公路的乡镇重点规划；建制村通双车道硬化路，重点实施偏远山区农村公路的延伸与提级，村村通道路不低于双车道6.5米标准，自然村屯100%通硬化路，提升农村公路服务品质。</w:t>
      </w:r>
    </w:p>
    <w:p>
      <w:pPr>
        <w:pStyle w:val="5"/>
        <w:numPr>
          <w:ilvl w:val="0"/>
          <w:numId w:val="5"/>
        </w:numPr>
        <w:spacing w:before="156" w:after="0" w:afterLines="0"/>
        <w:ind w:left="0" w:firstLine="640"/>
      </w:pPr>
      <w:r>
        <w:rPr>
          <w:rFonts w:hint="eastAsia"/>
        </w:rPr>
        <w:t>水运</w:t>
      </w:r>
    </w:p>
    <w:p>
      <w:pPr>
        <w:pStyle w:val="2"/>
        <w:ind w:firstLine="643"/>
      </w:pPr>
      <w:r>
        <w:rPr>
          <w:rFonts w:hint="eastAsia" w:ascii="仿宋_GB2312" w:hAnsi="仿宋_GB2312" w:cs="仿宋_GB2312"/>
          <w:b/>
        </w:rPr>
        <w:t>升级境内水系通航能力。</w:t>
      </w:r>
      <w:r>
        <w:rPr>
          <w:rFonts w:hint="eastAsia" w:ascii="仿宋_GB2312" w:hAnsi="仿宋_GB2312" w:cs="仿宋_GB2312"/>
        </w:rPr>
        <w:t>建设桂江扩能工程（Ⅱ级航道）和贺江复航扩能工程（II/III级航道）两条水运通道，重点建设大墩、信都、马江等重点作业区，积极推进贺街、昭平等一般作业区。贺州港划分为八步港区、昭平港区和平桂港点、钟山港点、富川港点。</w:t>
      </w:r>
    </w:p>
    <w:p>
      <w:pPr>
        <w:pStyle w:val="5"/>
        <w:numPr>
          <w:ilvl w:val="0"/>
          <w:numId w:val="5"/>
        </w:numPr>
        <w:spacing w:before="156" w:after="0" w:afterLines="0"/>
        <w:ind w:left="0" w:firstLine="640"/>
      </w:pPr>
      <w:r>
        <w:rPr>
          <w:rFonts w:hint="eastAsia"/>
        </w:rPr>
        <w:t>客货运枢纽</w:t>
      </w:r>
    </w:p>
    <w:p>
      <w:pPr>
        <w:ind w:firstLine="643"/>
        <w:rPr>
          <w:rFonts w:ascii="仿宋_GB2312" w:hAnsi="仿宋_GB2312" w:cs="仿宋_GB2312"/>
        </w:rPr>
      </w:pPr>
      <w:r>
        <w:rPr>
          <w:rFonts w:hint="eastAsia" w:ascii="仿宋_GB2312" w:hAnsi="仿宋_GB2312" w:cs="仿宋_GB2312"/>
          <w:b/>
        </w:rPr>
        <w:t>“4+4”客、货运综合交通枢纽体系。</w:t>
      </w:r>
      <w:r>
        <w:rPr>
          <w:rFonts w:hint="eastAsia" w:ascii="仿宋_GB2312" w:hAnsi="仿宋_GB2312" w:cs="仿宋_GB2312"/>
        </w:rPr>
        <w:t>即4个客运为主的综合交通枢纽，分别为贺州火车站综合客运枢纽、贺州空港综合运输站场、黄姚客运站城市综合体、钟山县综合客运枢纽；4个货运为主的综合交通枢纽，分别为贺州铁路港、信都综合运输站场、马江综合运输站场、富川综合运输站场。</w:t>
      </w:r>
    </w:p>
    <w:p>
      <w:pPr>
        <w:pStyle w:val="4"/>
        <w:numPr>
          <w:ilvl w:val="0"/>
          <w:numId w:val="14"/>
        </w:numPr>
        <w:tabs>
          <w:tab w:val="left" w:pos="360"/>
        </w:tabs>
        <w:spacing w:before="312" w:beforeLines="100" w:line="460" w:lineRule="exact"/>
        <w:ind w:left="0" w:firstLine="0"/>
        <w:rPr>
          <w:rFonts w:ascii="Times New Roman" w:hAnsi="Times New Roman"/>
        </w:rPr>
      </w:pPr>
      <w:bookmarkStart w:id="493" w:name="_Toc22084"/>
      <w:bookmarkStart w:id="494" w:name="_Toc31403"/>
      <w:bookmarkStart w:id="495" w:name="_Toc213018284"/>
      <w:bookmarkStart w:id="496" w:name="_Toc25303_WPSOffice_Level2"/>
      <w:bookmarkStart w:id="497" w:name="_Toc26051"/>
      <w:bookmarkStart w:id="498" w:name="_Toc30290"/>
      <w:bookmarkStart w:id="499" w:name="_Toc30063"/>
      <w:bookmarkStart w:id="500" w:name="_Toc13948"/>
      <w:bookmarkStart w:id="501" w:name="_Toc11638"/>
      <w:bookmarkStart w:id="502" w:name="_Toc32150"/>
      <w:bookmarkStart w:id="503" w:name="_Toc9299"/>
      <w:bookmarkStart w:id="504" w:name="_Toc29947"/>
      <w:r>
        <w:rPr>
          <w:rFonts w:hint="eastAsia" w:ascii="Times New Roman" w:hAnsi="Times New Roman"/>
        </w:rPr>
        <w:t>市政基础设施</w:t>
      </w:r>
      <w:bookmarkEnd w:id="493"/>
      <w:bookmarkEnd w:id="494"/>
      <w:bookmarkEnd w:id="495"/>
      <w:bookmarkEnd w:id="496"/>
      <w:bookmarkEnd w:id="497"/>
      <w:bookmarkEnd w:id="498"/>
      <w:bookmarkEnd w:id="499"/>
      <w:bookmarkEnd w:id="500"/>
      <w:bookmarkEnd w:id="501"/>
      <w:bookmarkEnd w:id="502"/>
      <w:bookmarkEnd w:id="503"/>
      <w:bookmarkEnd w:id="504"/>
    </w:p>
    <w:p>
      <w:pPr>
        <w:pStyle w:val="5"/>
        <w:numPr>
          <w:ilvl w:val="0"/>
          <w:numId w:val="5"/>
        </w:numPr>
        <w:spacing w:before="156" w:after="0" w:afterLines="0"/>
        <w:ind w:left="0" w:firstLine="640"/>
      </w:pPr>
      <w:r>
        <w:rPr>
          <w:rFonts w:hint="eastAsia"/>
        </w:rPr>
        <w:t>给水工程规划</w:t>
      </w:r>
    </w:p>
    <w:p>
      <w:pPr>
        <w:ind w:firstLine="643"/>
        <w:rPr>
          <w:rFonts w:ascii="仿宋_GB2312" w:hAnsi="仿宋_GB2312" w:cs="仿宋_GB2312"/>
        </w:rPr>
      </w:pPr>
      <w:r>
        <w:rPr>
          <w:rFonts w:hint="eastAsia" w:ascii="仿宋_GB2312" w:hAnsi="仿宋_GB2312" w:cs="仿宋_GB2312"/>
          <w:b/>
        </w:rPr>
        <w:t>构建完善的供水设施。</w:t>
      </w:r>
      <w:r>
        <w:rPr>
          <w:rFonts w:hint="eastAsia" w:ascii="仿宋_GB2312" w:hAnsi="仿宋_GB2312" w:cs="仿宋_GB2312"/>
        </w:rPr>
        <w:t>中心城区以龟石水库、大湾水库为主供水源，工业用水水源为贺江。昭平县、钟山县、富川瑶族自治县3个县城根据情况各设置1—2座给水厂，昭平县城以桂江为主供水源，同古水库为备用水源，钟山县城以龟石水库为主供水源，富川县城以涝溪水库为主供水源。各乡镇镇区建设1座或以上给水厂，就近选择水库、河流水系（包括地下河）等作为水源，乡镇镇区给水厂应尽量为周边村屯供水。</w:t>
      </w:r>
    </w:p>
    <w:p>
      <w:pPr>
        <w:ind w:firstLine="643"/>
        <w:rPr>
          <w:rFonts w:ascii="仿宋_GB2312" w:hAnsi="仿宋_GB2312" w:cs="仿宋_GB2312"/>
        </w:rPr>
      </w:pPr>
      <w:r>
        <w:rPr>
          <w:rFonts w:hint="eastAsia" w:ascii="仿宋_GB2312" w:hAnsi="仿宋_GB2312" w:cs="仿宋_GB2312"/>
          <w:b/>
        </w:rPr>
        <w:t>保障供水水源安全。</w:t>
      </w:r>
      <w:r>
        <w:rPr>
          <w:rFonts w:hint="eastAsia" w:ascii="仿宋_GB2312" w:hAnsi="仿宋_GB2312" w:cs="仿宋_GB2312"/>
        </w:rPr>
        <w:t>饮用水水源需按规范划定水源保护区。在地表水源取水口附近，划定一定的水域和陆域作为饮用水地表水源一级保护区，其水质标准不低于Ⅱ类标准。在一级保护区外划定的水域和陆域为二级保护区，其水质不低于Ⅲ类标准。根据需要在二级保护区外划定水域和陆域为准保护区。</w:t>
      </w:r>
    </w:p>
    <w:p>
      <w:pPr>
        <w:pStyle w:val="5"/>
        <w:numPr>
          <w:ilvl w:val="0"/>
          <w:numId w:val="5"/>
        </w:numPr>
        <w:spacing w:before="156" w:after="0" w:afterLines="0"/>
        <w:ind w:left="0" w:firstLine="640"/>
      </w:pPr>
      <w:r>
        <w:rPr>
          <w:rFonts w:hint="eastAsia"/>
        </w:rPr>
        <w:t>排水工程规划</w:t>
      </w:r>
    </w:p>
    <w:p>
      <w:pPr>
        <w:ind w:firstLine="643"/>
        <w:rPr>
          <w:rFonts w:ascii="仿宋_GB2312" w:hAnsi="仿宋_GB2312" w:cs="仿宋_GB2312"/>
        </w:rPr>
      </w:pPr>
      <w:bookmarkStart w:id="505" w:name="_Toc4500"/>
      <w:bookmarkStart w:id="506" w:name="_Toc19980"/>
      <w:bookmarkStart w:id="507" w:name="_Toc163"/>
      <w:bookmarkStart w:id="508" w:name="_Toc9313"/>
      <w:bookmarkStart w:id="509" w:name="_Toc18519"/>
      <w:bookmarkStart w:id="510" w:name="_Toc21798"/>
      <w:bookmarkStart w:id="511" w:name="_Toc16927"/>
      <w:bookmarkStart w:id="512" w:name="_Toc13457"/>
      <w:bookmarkStart w:id="513" w:name="_Toc13322"/>
      <w:bookmarkStart w:id="514" w:name="_Toc9103"/>
      <w:r>
        <w:rPr>
          <w:rFonts w:hint="eastAsia" w:ascii="仿宋_GB2312" w:hAnsi="仿宋_GB2312" w:cs="仿宋_GB2312"/>
          <w:b/>
        </w:rPr>
        <w:t>确保污水设施全覆盖。</w:t>
      </w:r>
      <w:r>
        <w:rPr>
          <w:rFonts w:hint="eastAsia" w:ascii="仿宋_GB2312" w:hAnsi="仿宋_GB2312" w:cs="仿宋_GB2312"/>
        </w:rPr>
        <w:t>中心城区设置8座污水处理厂，昭平县、钟山县、富川瑶族自治县各设置1座或以上污水处理厂，乡镇各设置不少于1座污水处理厂，在村屯可设置小型污水处理设施，如氧化塘、生态湿地、沼气化粪池等。污水处理厂出水排放需达到一级标准，排放水质应严格按照城镇污水处理厂污染物排放的规范要求执行。</w:t>
      </w:r>
    </w:p>
    <w:p>
      <w:pPr>
        <w:pStyle w:val="5"/>
        <w:numPr>
          <w:ilvl w:val="0"/>
          <w:numId w:val="5"/>
        </w:numPr>
        <w:spacing w:before="156" w:after="0" w:afterLines="0"/>
        <w:ind w:left="0" w:firstLine="640"/>
      </w:pPr>
      <w:r>
        <w:rPr>
          <w:rFonts w:hint="eastAsia"/>
        </w:rPr>
        <w:t>电力工程规划</w:t>
      </w:r>
    </w:p>
    <w:p>
      <w:pPr>
        <w:widowControl/>
        <w:ind w:firstLine="643"/>
        <w:rPr>
          <w:rFonts w:ascii="仿宋_GB2312" w:hAnsi="仿宋_GB2312" w:cs="仿宋_GB2312"/>
        </w:rPr>
      </w:pPr>
      <w:r>
        <w:rPr>
          <w:rFonts w:hint="eastAsia" w:ascii="仿宋_GB2312" w:hAnsi="仿宋_GB2312" w:cs="仿宋_GB2312"/>
          <w:b/>
        </w:rPr>
        <w:t>完善电网规划。</w:t>
      </w:r>
      <w:r>
        <w:rPr>
          <w:rFonts w:hint="eastAsia" w:ascii="仿宋_GB2312" w:hAnsi="仿宋_GB2312" w:cs="仿宋_GB2312"/>
        </w:rPr>
        <w:t>加快建设500千伏章田（贺州二）输变电工程和一批高中低压电网工程，以贺州变、章田（贺州二）变2座500千伏电站为支撑，构建220千伏环网一体化结构，持续优化110千伏及以下配电网网架。规划实现县城110千伏变电站全覆盖，10千伏及以上电压等级供电线路覆盖所有县级及以上工业园，配电自动化指标大幅提升，建成智能化电网，建成</w:t>
      </w:r>
      <w:r>
        <w:rPr>
          <w:rFonts w:hint="eastAsia" w:ascii="仿宋_GB2312" w:hAnsi="仿宋_GB2312" w:cs="仿宋_GB2312"/>
          <w:kern w:val="0"/>
          <w:szCs w:val="32"/>
          <w:lang w:bidi="ar"/>
        </w:rPr>
        <w:t>重点地区坚强局部电网，建成满足新型城镇化、乡村振兴用电需求的城乡高压配电网。</w:t>
      </w:r>
      <w:r>
        <w:rPr>
          <w:rFonts w:hint="eastAsia" w:ascii="仿宋_GB2312" w:hAnsi="仿宋_GB2312" w:cs="仿宋_GB2312"/>
        </w:rPr>
        <w:t>规划期末，贺州市建设完成乌东德电站送电广东广西特高压直流输电工程（贺州段），藏东南至粤港澳大湾区特高压直流输电工程（贺州段）。规划500千伏变电站2座，220千伏变电站21座。</w:t>
      </w:r>
    </w:p>
    <w:p>
      <w:pPr>
        <w:ind w:firstLine="643"/>
        <w:rPr>
          <w:rFonts w:ascii="仿宋_GB2312" w:hAnsi="仿宋_GB2312" w:cs="仿宋_GB2312"/>
        </w:rPr>
      </w:pPr>
      <w:r>
        <w:rPr>
          <w:rFonts w:hint="eastAsia" w:ascii="仿宋_GB2312" w:hAnsi="仿宋_GB2312" w:cs="仿宋_GB2312"/>
          <w:b/>
          <w:bCs/>
        </w:rPr>
        <w:t>加强陆上风电项目建设。</w:t>
      </w:r>
      <w:r>
        <w:rPr>
          <w:rFonts w:hint="eastAsia" w:ascii="仿宋_GB2312" w:hAnsi="仿宋_GB2312" w:cs="仿宋_GB2312"/>
        </w:rPr>
        <w:t>落实国家碳达峰碳中和目标战略，充分利用贺州市西南部及东北部海拔较高区域风能资源，打造多个风电场，为城乡能源供给提供绿色新动能，助力农村能源清洁低碳转型和乡村振兴战略实施。</w:t>
      </w:r>
    </w:p>
    <w:p>
      <w:pPr>
        <w:pStyle w:val="2"/>
        <w:ind w:firstLine="643"/>
        <w:rPr>
          <w:rFonts w:ascii="仿宋_GB2312" w:hAnsi="仿宋_GB2312" w:cs="仿宋_GB2312"/>
          <w:b/>
          <w:bCs/>
        </w:rPr>
      </w:pPr>
      <w:r>
        <w:rPr>
          <w:rFonts w:hint="eastAsia" w:ascii="仿宋_GB2312" w:hAnsi="仿宋_GB2312" w:cs="仿宋_GB2312"/>
          <w:b/>
          <w:bCs/>
        </w:rPr>
        <w:t>加强高压走廊管控。</w:t>
      </w:r>
      <w:r>
        <w:rPr>
          <w:rFonts w:hint="eastAsia" w:ascii="仿宋_GB2312" w:hAnsi="仿宋_GB2312" w:cs="仿宋_GB2312"/>
        </w:rPr>
        <w:t>高压走廊应避免穿越自然保护地、文物保护区、饮用水源保护区等环境敏感区。规划220千伏高压走廊宽度30—40米，500千伏高压走廊宽度60—75米，1000千伏高压走廊宽度90—110米。</w:t>
      </w:r>
    </w:p>
    <w:p>
      <w:pPr>
        <w:pStyle w:val="5"/>
        <w:numPr>
          <w:ilvl w:val="0"/>
          <w:numId w:val="5"/>
        </w:numPr>
        <w:spacing w:before="156" w:after="0" w:afterLines="0"/>
        <w:ind w:left="0" w:firstLine="640"/>
      </w:pPr>
      <w:r>
        <w:rPr>
          <w:rFonts w:hint="eastAsia"/>
        </w:rPr>
        <w:t>通信工程规划</w:t>
      </w:r>
    </w:p>
    <w:p>
      <w:pPr>
        <w:ind w:firstLine="643"/>
        <w:rPr>
          <w:rFonts w:ascii="仿宋_GB2312" w:hAnsi="仿宋_GB2312" w:cs="仿宋_GB2312"/>
        </w:rPr>
      </w:pPr>
      <w:r>
        <w:rPr>
          <w:rFonts w:hint="eastAsia" w:ascii="仿宋_GB2312" w:hAnsi="仿宋_GB2312" w:cs="仿宋_GB2312"/>
          <w:b/>
        </w:rPr>
        <w:t>加快5G网络建设和推广应用。</w:t>
      </w:r>
      <w:r>
        <w:rPr>
          <w:rFonts w:hint="eastAsia" w:ascii="仿宋_GB2312" w:hAnsi="仿宋_GB2312" w:cs="仿宋_GB2312"/>
        </w:rPr>
        <w:t>到2035年，累计建成6000个以上5G基站，实现5G网络在城区深度覆盖、县城和乡镇重点区域全面覆盖。</w:t>
      </w:r>
    </w:p>
    <w:p>
      <w:pPr>
        <w:ind w:firstLine="643"/>
        <w:rPr>
          <w:rFonts w:ascii="仿宋_GB2312" w:hAnsi="仿宋_GB2312" w:cs="仿宋_GB2312"/>
        </w:rPr>
      </w:pPr>
      <w:r>
        <w:rPr>
          <w:rFonts w:hint="eastAsia" w:ascii="仿宋_GB2312" w:hAnsi="仿宋_GB2312" w:cs="仿宋_GB2312"/>
          <w:b/>
        </w:rPr>
        <w:t>加快智慧广电建设。</w:t>
      </w:r>
      <w:r>
        <w:rPr>
          <w:rFonts w:hint="eastAsia" w:ascii="仿宋_GB2312" w:hAnsi="仿宋_GB2312" w:cs="仿宋_GB2312"/>
        </w:rPr>
        <w:t>广电网实现全市20户以上自然村光缆联网全覆盖，农村“广电云”户户用累计覆盖15万户家庭。</w:t>
      </w:r>
    </w:p>
    <w:p>
      <w:pPr>
        <w:ind w:firstLine="643"/>
        <w:rPr>
          <w:rFonts w:ascii="仿宋_GB2312" w:hAnsi="仿宋_GB2312" w:cs="仿宋_GB2312"/>
        </w:rPr>
      </w:pPr>
      <w:r>
        <w:rPr>
          <w:rFonts w:hint="eastAsia" w:ascii="仿宋_GB2312" w:hAnsi="仿宋_GB2312" w:cs="仿宋_GB2312"/>
          <w:b/>
        </w:rPr>
        <w:t>建设新一代互联网基础设施。</w:t>
      </w:r>
      <w:r>
        <w:rPr>
          <w:rFonts w:hint="eastAsia" w:ascii="仿宋_GB2312" w:hAnsi="仿宋_GB2312" w:cs="仿宋_GB2312"/>
          <w:bCs/>
        </w:rPr>
        <w:t>实现</w:t>
      </w:r>
      <w:r>
        <w:rPr>
          <w:rFonts w:hint="eastAsia" w:ascii="仿宋_GB2312" w:hAnsi="仿宋_GB2312" w:cs="仿宋_GB2312"/>
        </w:rPr>
        <w:t>电子政务外网广域骨干网络实现市县乡全覆盖，全面建成“一网通办”，政务服务事项全部纳入一体化平台办理，进一步提升数字政府基础设施承载能力和工业互联网网络支撑能力。加快建成数字贺州总部基地、“雪亮工程”、工业互联网云服务等一批重要信息基础设施平台，为全市电子信息产业、人工智能、大数据等新一代信息技术平台发展提供重要支撑保障。</w:t>
      </w:r>
    </w:p>
    <w:p>
      <w:pPr>
        <w:pStyle w:val="5"/>
        <w:numPr>
          <w:ilvl w:val="0"/>
          <w:numId w:val="5"/>
        </w:numPr>
        <w:spacing w:before="156" w:after="0" w:afterLines="0"/>
        <w:ind w:left="0" w:firstLine="640"/>
      </w:pPr>
      <w:r>
        <w:rPr>
          <w:rFonts w:hint="eastAsia"/>
        </w:rPr>
        <w:t>燃气工程规划</w:t>
      </w:r>
    </w:p>
    <w:p>
      <w:pPr>
        <w:ind w:firstLine="643"/>
        <w:rPr>
          <w:rFonts w:ascii="仿宋_GB2312" w:hAnsi="仿宋_GB2312" w:cs="仿宋_GB2312"/>
        </w:rPr>
      </w:pPr>
      <w:r>
        <w:rPr>
          <w:rFonts w:hint="eastAsia" w:ascii="仿宋_GB2312" w:hAnsi="仿宋_GB2312" w:cs="仿宋_GB2312"/>
          <w:b/>
        </w:rPr>
        <w:t>完善燃气设施供应网络。</w:t>
      </w:r>
      <w:r>
        <w:rPr>
          <w:rFonts w:hint="eastAsia" w:ascii="仿宋_GB2312" w:hAnsi="仿宋_GB2312" w:cs="仿宋_GB2312"/>
        </w:rPr>
        <w:t>近期燃气气源采用液化石油气，积极发展管道气，燃气气源采用天然气，有条件的乡镇引入天然气作为主要气源，偏远乡镇、农村等天然气供应不到地区以液化气作为气源。市域燃气设施统筹考虑布置，在中心城区设置分输站1处，规划共设置7处天然气门站，中心城区设置2处，昭平县、钟山县、信都镇各1处，富川瑶族自治县设置2处。</w:t>
      </w:r>
    </w:p>
    <w:p>
      <w:pPr>
        <w:pStyle w:val="5"/>
        <w:numPr>
          <w:ilvl w:val="0"/>
          <w:numId w:val="5"/>
        </w:numPr>
        <w:spacing w:before="156" w:after="0" w:afterLines="0"/>
        <w:ind w:left="0" w:firstLine="640"/>
      </w:pPr>
      <w:r>
        <w:rPr>
          <w:rFonts w:hint="eastAsia"/>
        </w:rPr>
        <w:t>环卫工程规划</w:t>
      </w:r>
    </w:p>
    <w:p>
      <w:pPr>
        <w:pStyle w:val="2"/>
        <w:ind w:firstLine="643"/>
        <w:rPr>
          <w:rFonts w:ascii="仿宋_GB2312" w:hAnsi="仿宋_GB2312" w:cs="仿宋_GB2312"/>
        </w:rPr>
      </w:pPr>
      <w:r>
        <w:rPr>
          <w:rFonts w:hint="eastAsia" w:ascii="仿宋_GB2312" w:hAnsi="仿宋_GB2312" w:cs="仿宋_GB2312"/>
          <w:b/>
        </w:rPr>
        <w:t>垃圾收集处理方式。</w:t>
      </w:r>
      <w:r>
        <w:rPr>
          <w:rFonts w:hint="eastAsia" w:ascii="仿宋_GB2312" w:hAnsi="仿宋_GB2312" w:cs="仿宋_GB2312"/>
        </w:rPr>
        <w:t>中心城区生活垃圾以焚烧发电为主、卫生填埋及其他方式为辅的方式综合处理；县城生活垃圾以焚烧发电为主，卫生填埋为辅。医疗废弃物运至贺州市医疗废物处置中心集中处理；规划设置建筑垃圾综合利用场所，外运必须按规定路线，减少对城市环境卫生的影响；工业废弃物由企业自行收集、处理；建立健全危险废物收运体系，鼓励产业园区配套建设危险废物利用处置设施，鼓励和引导技术水平高、专业性强的企业参与危险废物的收运和处置。农村垃圾的收集处理采用“户集、村收、乡（镇）运、市县处理”的模式，各村设中小型垃圾收集设施，各乡镇设垃圾中转站，全市分区设垃圾填埋场或处理厂。村庄负责本村垃圾的收集，乡镇负责对村庄垃圾进行打包、运输，送至垃圾填埋场、处理厂进行卫生填埋或无害化处理。</w:t>
      </w:r>
    </w:p>
    <w:p>
      <w:pPr>
        <w:ind w:firstLine="643"/>
        <w:rPr>
          <w:rFonts w:ascii="仿宋_GB2312" w:hAnsi="仿宋_GB2312" w:cs="仿宋_GB2312"/>
        </w:rPr>
      </w:pPr>
      <w:r>
        <w:rPr>
          <w:rFonts w:hint="eastAsia" w:ascii="仿宋_GB2312" w:hAnsi="仿宋_GB2312" w:cs="仿宋_GB2312"/>
          <w:b/>
        </w:rPr>
        <w:t>垃圾处理设施规划。</w:t>
      </w:r>
      <w:r>
        <w:rPr>
          <w:rFonts w:hint="eastAsia" w:ascii="仿宋_GB2312" w:hAnsi="仿宋_GB2312" w:cs="仿宋_GB2312"/>
        </w:rPr>
        <w:t>市域共规划6处大型生活垃圾处理场所和4处建筑垃圾处理场所。其中，中心城区建设贺州市环保循环经济产业园项目（包含生活垃圾处理场所和建筑垃圾处理场所），钟山县建设生活垃圾焚烧发电项目和大型生活垃圾处理场所1处，昭平县建设生活垃圾热解低温余热发电项目和大型生活垃圾处理场所1处，富川瑶族自治县建设大型生活垃圾处理场所1处，昭平县、钟山县、富川瑶族自治县各建设建筑垃圾处理场所1处。中心城区规划9处弃土场，昭平县、钟山县、富川瑶族自治县根据各县的弃土量规模规划弃土场地。</w:t>
      </w:r>
    </w:p>
    <w:p>
      <w:pPr>
        <w:ind w:firstLine="643"/>
        <w:rPr>
          <w:rFonts w:ascii="仿宋_GB2312" w:hAnsi="仿宋_GB2312" w:cs="仿宋_GB2312"/>
        </w:rPr>
      </w:pPr>
      <w:r>
        <w:rPr>
          <w:rFonts w:hint="eastAsia" w:ascii="仿宋_GB2312" w:hAnsi="仿宋_GB2312" w:cs="仿宋_GB2312"/>
          <w:b/>
        </w:rPr>
        <w:t>垃圾中转站规划。</w:t>
      </w:r>
      <w:r>
        <w:rPr>
          <w:rFonts w:hint="eastAsia" w:ascii="仿宋_GB2312" w:hAnsi="仿宋_GB2312" w:cs="仿宋_GB2312"/>
        </w:rPr>
        <w:t>规划中心城区采用小型垃圾转运站与中型垃圾转运站结合布置，规划中心城区、昭平县、钟山县、富川瑶族自治县根据城市环境卫生设施的规范要求设置垃圾转运站。</w:t>
      </w:r>
    </w:p>
    <w:p>
      <w:pPr>
        <w:pStyle w:val="2"/>
        <w:ind w:firstLine="643"/>
        <w:rPr>
          <w:rFonts w:ascii="仿宋_GB2312" w:hAnsi="仿宋_GB2312" w:cs="仿宋_GB2312"/>
        </w:rPr>
      </w:pPr>
      <w:r>
        <w:rPr>
          <w:rFonts w:hint="eastAsia" w:ascii="仿宋_GB2312" w:hAnsi="仿宋_GB2312" w:cs="仿宋_GB2312"/>
          <w:b/>
          <w:bCs/>
        </w:rPr>
        <w:t>公共厕所规划。</w:t>
      </w:r>
      <w:r>
        <w:rPr>
          <w:rFonts w:hint="eastAsia" w:ascii="仿宋_GB2312" w:hAnsi="仿宋_GB2312" w:cs="仿宋_GB2312"/>
        </w:rPr>
        <w:t>规划中心城区、昭平县、钟山县、富川瑶族自治县根据城市环境卫生设施的规范要求，设置公共厕所。</w:t>
      </w:r>
    </w:p>
    <w:p>
      <w:pPr>
        <w:pStyle w:val="5"/>
        <w:numPr>
          <w:ilvl w:val="0"/>
          <w:numId w:val="5"/>
        </w:numPr>
        <w:spacing w:before="156" w:after="0" w:afterLines="0"/>
        <w:ind w:left="0" w:firstLine="640"/>
      </w:pPr>
      <w:r>
        <w:rPr>
          <w:rFonts w:hint="eastAsia"/>
        </w:rPr>
        <w:t>新型基础设施建设规划</w:t>
      </w:r>
    </w:p>
    <w:p>
      <w:pPr>
        <w:pStyle w:val="2"/>
        <w:ind w:firstLine="643"/>
        <w:rPr>
          <w:rFonts w:ascii="仿宋_GB2312" w:hAnsi="仿宋_GB2312" w:cs="仿宋_GB2312"/>
        </w:rPr>
      </w:pPr>
      <w:r>
        <w:rPr>
          <w:rFonts w:hint="eastAsia" w:ascii="仿宋_GB2312" w:hAnsi="仿宋_GB2312" w:cs="仿宋_GB2312"/>
          <w:b/>
        </w:rPr>
        <w:t>强基固本，全面提升网络通信基础设施。</w:t>
      </w:r>
      <w:r>
        <w:rPr>
          <w:rFonts w:hint="eastAsia" w:ascii="仿宋_GB2312" w:hAnsi="仿宋_GB2312" w:cs="仿宋_GB2312"/>
        </w:rPr>
        <w:t>积极推进5G、千兆光网、IPv6、物联网和卫星互联网建设，全面升级通信网络基础设施，形成高速泛在、万物互联、天地一体的通信网络支持体系。加快“数字贺州”建设，深度应用新一代信息技术，构建智慧化治理设施、智能化交通设施、网络化能源设施、智能化生产设施、数字化民生设施，推动融合基础设施赋能水平持续增加。到2035年，全面建成系统完备、高效实用、智能绿色、安全可靠的现代化基础设施体系。</w:t>
      </w:r>
    </w:p>
    <w:p>
      <w:pPr>
        <w:pStyle w:val="4"/>
        <w:numPr>
          <w:ilvl w:val="0"/>
          <w:numId w:val="14"/>
        </w:numPr>
        <w:tabs>
          <w:tab w:val="left" w:pos="360"/>
        </w:tabs>
        <w:spacing w:before="312" w:beforeLines="100" w:after="156" w:afterLines="50" w:line="460" w:lineRule="exact"/>
        <w:ind w:left="0" w:firstLine="0"/>
        <w:rPr>
          <w:rFonts w:ascii="Times New Roman" w:hAnsi="Times New Roman"/>
        </w:rPr>
      </w:pPr>
      <w:bookmarkStart w:id="515" w:name="_Toc29797_WPSOffice_Level2"/>
      <w:bookmarkStart w:id="516" w:name="_Toc213018285"/>
      <w:r>
        <w:rPr>
          <w:rFonts w:hint="eastAsia" w:ascii="Times New Roman" w:hAnsi="Times New Roman"/>
        </w:rPr>
        <w:t>能源安全保障</w:t>
      </w:r>
      <w:bookmarkEnd w:id="505"/>
      <w:bookmarkEnd w:id="506"/>
      <w:bookmarkEnd w:id="507"/>
      <w:bookmarkEnd w:id="508"/>
      <w:bookmarkEnd w:id="509"/>
      <w:bookmarkEnd w:id="510"/>
      <w:bookmarkEnd w:id="511"/>
      <w:bookmarkEnd w:id="512"/>
      <w:bookmarkEnd w:id="513"/>
      <w:bookmarkEnd w:id="514"/>
      <w:bookmarkEnd w:id="515"/>
      <w:bookmarkEnd w:id="516"/>
    </w:p>
    <w:p>
      <w:pPr>
        <w:pStyle w:val="5"/>
        <w:numPr>
          <w:ilvl w:val="0"/>
          <w:numId w:val="5"/>
        </w:numPr>
        <w:spacing w:before="156" w:after="0" w:afterLines="0"/>
        <w:ind w:left="0" w:firstLine="640"/>
      </w:pPr>
      <w:bookmarkStart w:id="517" w:name="_Toc20101"/>
      <w:r>
        <w:rPr>
          <w:rFonts w:hint="eastAsia"/>
        </w:rPr>
        <w:t>节能减排</w:t>
      </w:r>
    </w:p>
    <w:p>
      <w:pPr>
        <w:ind w:firstLine="643"/>
        <w:rPr>
          <w:rFonts w:ascii="仿宋_GB2312" w:hAnsi="仿宋_GB2312" w:cs="仿宋_GB2312"/>
        </w:rPr>
      </w:pPr>
      <w:r>
        <w:rPr>
          <w:rFonts w:hint="eastAsia" w:ascii="仿宋_GB2312" w:hAnsi="仿宋_GB2312" w:cs="仿宋_GB2312"/>
          <w:b/>
          <w:bCs/>
        </w:rPr>
        <w:t>增强碳汇能力，实现碳中和目标。</w:t>
      </w:r>
      <w:r>
        <w:rPr>
          <w:rFonts w:hint="eastAsia" w:ascii="仿宋_GB2312" w:hAnsi="仿宋_GB2312" w:cs="仿宋_GB2312"/>
        </w:rPr>
        <w:t>开展低碳城市、低碳社区、低碳园区、低碳企业等试点，持续增加森林及生态系统碳汇。到</w:t>
      </w:r>
      <w:r>
        <w:rPr>
          <w:rFonts w:ascii="仿宋_GB2312" w:hAnsi="仿宋_GB2312" w:cs="仿宋_GB2312"/>
        </w:rPr>
        <w:t>2030</w:t>
      </w:r>
      <w:r>
        <w:rPr>
          <w:rFonts w:hint="eastAsia" w:ascii="仿宋_GB2312" w:hAnsi="仿宋_GB2312" w:cs="仿宋_GB2312"/>
        </w:rPr>
        <w:t>年，实现碳达峰，全市环境空气质量优良天数比例不低于</w:t>
      </w:r>
      <w:r>
        <w:rPr>
          <w:rFonts w:ascii="仿宋_GB2312" w:hAnsi="仿宋_GB2312" w:cs="仿宋_GB2312"/>
        </w:rPr>
        <w:t>99%</w:t>
      </w:r>
      <w:r>
        <w:rPr>
          <w:rFonts w:hint="eastAsia" w:ascii="仿宋_GB2312" w:hAnsi="仿宋_GB2312" w:cs="仿宋_GB2312"/>
        </w:rPr>
        <w:t>，细颗粒物（</w:t>
      </w:r>
      <w:r>
        <w:rPr>
          <w:rFonts w:ascii="仿宋_GB2312" w:hAnsi="仿宋_GB2312" w:cs="仿宋_GB2312"/>
        </w:rPr>
        <w:t>PM2.5</w:t>
      </w:r>
      <w:r>
        <w:rPr>
          <w:rFonts w:hint="eastAsia" w:ascii="仿宋_GB2312" w:hAnsi="仿宋_GB2312" w:cs="仿宋_GB2312"/>
        </w:rPr>
        <w:t>）年均浓度不高于</w:t>
      </w:r>
      <w:r>
        <w:rPr>
          <w:rFonts w:ascii="仿宋_GB2312" w:hAnsi="仿宋_GB2312" w:cs="仿宋_GB2312"/>
        </w:rPr>
        <w:t>30</w:t>
      </w:r>
      <w:r>
        <w:rPr>
          <w:rFonts w:ascii="Calibri" w:hAnsi="Calibri" w:cs="Calibri"/>
        </w:rPr>
        <w:t>µ</w:t>
      </w:r>
      <w:r>
        <w:rPr>
          <w:rFonts w:ascii="仿宋_GB2312" w:hAnsi="仿宋_GB2312" w:cs="仿宋_GB2312"/>
        </w:rPr>
        <w:t>g/m</w:t>
      </w:r>
      <w:r>
        <w:rPr>
          <w:rFonts w:hint="eastAsia" w:ascii="仿宋_GB2312" w:hAnsi="仿宋_GB2312" w:cs="仿宋_GB2312"/>
        </w:rPr>
        <w:t>³，地表水达到或优于Ⅲ类水体比例达到</w:t>
      </w:r>
      <w:r>
        <w:rPr>
          <w:rFonts w:ascii="仿宋_GB2312" w:hAnsi="仿宋_GB2312" w:cs="仿宋_GB2312"/>
        </w:rPr>
        <w:t>100%</w:t>
      </w:r>
      <w:r>
        <w:rPr>
          <w:rFonts w:hint="eastAsia" w:ascii="仿宋_GB2312" w:hAnsi="仿宋_GB2312" w:cs="仿宋_GB2312"/>
        </w:rPr>
        <w:t>，完成自治区下达的节能减排任务，提高可再生能源比例，到</w:t>
      </w:r>
      <w:r>
        <w:rPr>
          <w:rFonts w:ascii="仿宋_GB2312" w:hAnsi="仿宋_GB2312" w:cs="仿宋_GB2312"/>
        </w:rPr>
        <w:t>2060</w:t>
      </w:r>
      <w:r>
        <w:rPr>
          <w:rFonts w:hint="eastAsia" w:ascii="仿宋_GB2312" w:hAnsi="仿宋_GB2312" w:cs="仿宋_GB2312"/>
        </w:rPr>
        <w:t>年前实现碳中和。</w:t>
      </w:r>
    </w:p>
    <w:p>
      <w:pPr>
        <w:pStyle w:val="5"/>
        <w:numPr>
          <w:ilvl w:val="0"/>
          <w:numId w:val="5"/>
        </w:numPr>
        <w:spacing w:before="156" w:after="0" w:afterLines="0"/>
        <w:ind w:left="0" w:firstLine="640"/>
      </w:pPr>
      <w:r>
        <w:rPr>
          <w:rFonts w:hint="eastAsia"/>
        </w:rPr>
        <w:t>能源供应</w:t>
      </w:r>
    </w:p>
    <w:p>
      <w:pPr>
        <w:ind w:firstLine="643"/>
        <w:rPr>
          <w:rFonts w:ascii="仿宋_GB2312" w:hAnsi="仿宋_GB2312" w:cs="仿宋_GB2312"/>
        </w:rPr>
      </w:pPr>
      <w:r>
        <w:rPr>
          <w:rFonts w:hint="eastAsia" w:ascii="仿宋_GB2312" w:hAnsi="仿宋_GB2312" w:cs="仿宋_GB2312"/>
          <w:b/>
          <w:bCs/>
        </w:rPr>
        <w:t>多措并举，提高能源供应安全与效率。</w:t>
      </w:r>
      <w:r>
        <w:rPr>
          <w:rFonts w:hint="eastAsia" w:ascii="仿宋_GB2312" w:hAnsi="仿宋_GB2312" w:cs="仿宋_GB2312"/>
        </w:rPr>
        <w:t>推进煤电机组节能减排升级改造，进一步降低供电煤耗，提高华润、广投4台煤电机组供应保障能力。充分利用风能优势，规划在八步仁义、平桂水口、钟山唱歌山等区域建设集中式风电场，探索建设分散式风电项目。推进集中式光伏项目建设，推动分布式光伏有序规范发展，持续提升光伏装机规模。推进生物质能多元开发利用，加快县城生活垃圾焚烧发电项目建设。积极推进风光水火储等多能互补和源网荷储一体化项目建设，加快120万千瓦贺州抽水蓄能电站项目实施；推动电化学储能等新型储能应用，提高新能源消纳和存储能力。持续推进天然气管道和应急储气设施建设。</w:t>
      </w:r>
    </w:p>
    <w:p>
      <w:pPr>
        <w:ind w:firstLine="643"/>
        <w:rPr>
          <w:rFonts w:ascii="仿宋_GB2312" w:hAnsi="仿宋_GB2312" w:cs="仿宋_GB2312"/>
        </w:rPr>
      </w:pPr>
      <w:r>
        <w:rPr>
          <w:rFonts w:hint="eastAsia" w:ascii="仿宋_GB2312" w:hAnsi="仿宋_GB2312" w:cs="仿宋_GB2312"/>
          <w:b/>
        </w:rPr>
        <w:t>推进充电基础设施建设，支持新能源汽车下乡。</w:t>
      </w:r>
      <w:r>
        <w:rPr>
          <w:rFonts w:ascii="仿宋_GB2312" w:hAnsi="仿宋_GB2312" w:cs="仿宋_GB2312"/>
        </w:rPr>
        <w:t>加强</w:t>
      </w:r>
      <w:r>
        <w:rPr>
          <w:rFonts w:hint="eastAsia" w:ascii="仿宋_GB2312" w:hAnsi="仿宋_GB2312" w:cs="仿宋_GB2312"/>
        </w:rPr>
        <w:t>充电</w:t>
      </w:r>
      <w:r>
        <w:rPr>
          <w:rFonts w:ascii="仿宋_GB2312" w:hAnsi="仿宋_GB2312" w:cs="仿宋_GB2312"/>
        </w:rPr>
        <w:t>基础设施及配套电网用地</w:t>
      </w:r>
      <w:r>
        <w:rPr>
          <w:rFonts w:hint="eastAsia" w:ascii="仿宋_GB2312" w:hAnsi="仿宋_GB2312" w:cs="仿宋_GB2312"/>
        </w:rPr>
        <w:t>、</w:t>
      </w:r>
      <w:r>
        <w:rPr>
          <w:rFonts w:ascii="仿宋_GB2312" w:hAnsi="仿宋_GB2312" w:cs="仿宋_GB2312"/>
        </w:rPr>
        <w:t>电网廊道空间等要素保障</w:t>
      </w:r>
      <w:r>
        <w:rPr>
          <w:rFonts w:hint="eastAsia" w:ascii="仿宋_GB2312" w:hAnsi="仿宋_GB2312" w:cs="仿宋_GB2312"/>
        </w:rPr>
        <w:t>。</w:t>
      </w:r>
      <w:r>
        <w:rPr>
          <w:rFonts w:ascii="仿宋_GB2312" w:hAnsi="仿宋_GB2312" w:cs="仿宋_GB2312"/>
        </w:rPr>
        <w:t>2025年底前</w:t>
      </w:r>
      <w:r>
        <w:rPr>
          <w:rFonts w:hint="eastAsia" w:ascii="仿宋_GB2312" w:hAnsi="仿宋_GB2312" w:cs="仿宋_GB2312"/>
        </w:rPr>
        <w:t>，中心城区、</w:t>
      </w:r>
      <w:r>
        <w:rPr>
          <w:rFonts w:ascii="仿宋_GB2312" w:hAnsi="仿宋_GB2312" w:cs="仿宋_GB2312"/>
        </w:rPr>
        <w:t>各县城及有条件的乡镇至少建成1座大中型综合服务充电站。</w:t>
      </w:r>
    </w:p>
    <w:bookmarkEnd w:id="517"/>
    <w:p>
      <w:pPr>
        <w:pStyle w:val="4"/>
        <w:numPr>
          <w:ilvl w:val="0"/>
          <w:numId w:val="14"/>
        </w:numPr>
        <w:tabs>
          <w:tab w:val="left" w:pos="360"/>
        </w:tabs>
        <w:spacing w:before="156" w:beforeLines="50" w:line="460" w:lineRule="exact"/>
        <w:ind w:left="0" w:firstLine="0"/>
        <w:rPr>
          <w:rFonts w:ascii="Times New Roman" w:hAnsi="Times New Roman"/>
        </w:rPr>
      </w:pPr>
      <w:bookmarkStart w:id="518" w:name="_Toc15386"/>
      <w:bookmarkStart w:id="519" w:name="_Toc23803"/>
      <w:bookmarkStart w:id="520" w:name="_Toc1465_WPSOffice_Level2"/>
      <w:bookmarkStart w:id="521" w:name="_Toc21222"/>
      <w:bookmarkStart w:id="522" w:name="_Toc22092"/>
      <w:bookmarkStart w:id="523" w:name="_Toc826"/>
      <w:bookmarkStart w:id="524" w:name="_Toc29556"/>
      <w:bookmarkStart w:id="525" w:name="_Toc11299"/>
      <w:bookmarkStart w:id="526" w:name="_Toc1965"/>
      <w:bookmarkStart w:id="527" w:name="_Toc213018286"/>
      <w:bookmarkStart w:id="528" w:name="_Toc28552"/>
      <w:r>
        <w:rPr>
          <w:rFonts w:hint="eastAsia" w:ascii="Times New Roman" w:hAnsi="Times New Roman"/>
        </w:rPr>
        <w:t>公共安全防灾体系</w:t>
      </w:r>
      <w:bookmarkEnd w:id="518"/>
      <w:bookmarkEnd w:id="519"/>
      <w:bookmarkEnd w:id="520"/>
      <w:bookmarkEnd w:id="521"/>
      <w:bookmarkEnd w:id="522"/>
      <w:bookmarkEnd w:id="523"/>
      <w:bookmarkEnd w:id="524"/>
      <w:bookmarkEnd w:id="525"/>
      <w:bookmarkEnd w:id="526"/>
      <w:bookmarkEnd w:id="527"/>
      <w:bookmarkEnd w:id="528"/>
    </w:p>
    <w:p>
      <w:pPr>
        <w:pStyle w:val="5"/>
        <w:numPr>
          <w:ilvl w:val="0"/>
          <w:numId w:val="5"/>
        </w:numPr>
        <w:spacing w:before="156" w:after="0" w:afterLines="0"/>
        <w:ind w:left="0" w:firstLine="640"/>
      </w:pPr>
      <w:r>
        <w:rPr>
          <w:rFonts w:hint="eastAsia"/>
        </w:rPr>
        <w:t>地质灾害防治体系</w:t>
      </w:r>
    </w:p>
    <w:p>
      <w:pPr>
        <w:ind w:firstLine="643"/>
        <w:rPr>
          <w:rFonts w:ascii="仿宋_GB2312" w:hAnsi="仿宋_GB2312" w:cs="仿宋_GB2312"/>
          <w:szCs w:val="30"/>
        </w:rPr>
      </w:pPr>
      <w:r>
        <w:rPr>
          <w:rFonts w:hint="eastAsia" w:ascii="仿宋_GB2312" w:hAnsi="仿宋_GB2312" w:cs="仿宋_GB2312"/>
          <w:b/>
          <w:bCs/>
          <w:szCs w:val="30"/>
        </w:rPr>
        <w:t>确保城乡用地地质环境安全，划定灾害风险防控线。</w:t>
      </w:r>
      <w:r>
        <w:rPr>
          <w:rFonts w:hint="eastAsia" w:ascii="仿宋_GB2312" w:hAnsi="仿宋_GB2312" w:cs="仿宋_GB2312"/>
          <w:szCs w:val="30"/>
        </w:rPr>
        <w:t>市</w:t>
      </w:r>
      <w:r>
        <w:rPr>
          <w:rFonts w:hint="eastAsia" w:ascii="仿宋_GB2312" w:hAnsi="仿宋_GB2312" w:cs="仿宋_GB2312"/>
        </w:rPr>
        <w:t>域范围内地质灾害类型有：滑坡、崩塌（土质崩塌、岩质崩塌）、岩溶地面塌陷、不稳定斜坡、泥石流。全市划定地质灾害极高风险区6个、高风险区13个、中风险区17个、低风险区13个。对易损值高～极高的区域适当进行国土空间规划调整，降低人口密度，调减医院、学校等重要承灾对象的规模甚至采取搬迁措施，并可通过实施预防性工程措施和群专结合的监测预警工作等有效降低地质灾害发生和造成人员伤亡风险；对易损值低～中的区域，宜部署开展群专结合的监测预警工作，条件具备时，宜对极高危险性区域内的承灾对象实施避险搬迁。</w:t>
      </w:r>
    </w:p>
    <w:p>
      <w:pPr>
        <w:pStyle w:val="5"/>
        <w:numPr>
          <w:ilvl w:val="0"/>
          <w:numId w:val="5"/>
        </w:numPr>
        <w:spacing w:before="156" w:after="0" w:afterLines="0"/>
        <w:ind w:left="0" w:firstLine="640"/>
      </w:pPr>
      <w:r>
        <w:rPr>
          <w:rFonts w:hint="eastAsia"/>
        </w:rPr>
        <w:t>防洪排涝体系</w:t>
      </w:r>
    </w:p>
    <w:p>
      <w:pPr>
        <w:ind w:firstLine="643"/>
        <w:rPr>
          <w:rFonts w:ascii="仿宋_GB2312" w:hAnsi="仿宋_GB2312" w:cs="仿宋_GB2312"/>
          <w:szCs w:val="30"/>
        </w:rPr>
      </w:pPr>
      <w:r>
        <w:rPr>
          <w:rFonts w:hint="eastAsia" w:ascii="仿宋_GB2312" w:hAnsi="仿宋_GB2312" w:cs="仿宋_GB2312"/>
          <w:b/>
          <w:bCs/>
          <w:szCs w:val="30"/>
        </w:rPr>
        <w:t>加强防洪排涝排水基础设施网络建设。</w:t>
      </w:r>
      <w:r>
        <w:rPr>
          <w:rFonts w:hint="eastAsia" w:ascii="仿宋_GB2312" w:hAnsi="仿宋_GB2312" w:cs="仿宋_GB2312"/>
          <w:szCs w:val="30"/>
        </w:rPr>
        <w:t>针对城市内部洪涝灾害易发地区，分洪道、山洪沟、涝区等重点区域，加强洪涝灾害风险评估，划定三级设防分区，中心城区内将河湖管理范围纳入洪涝风险控制线进行管控，市辖区外围富江、桂江等岸线由县级国土空间总体规划划定洪涝风险控制线，</w:t>
      </w:r>
      <w:r>
        <w:rPr>
          <w:rFonts w:hint="eastAsia" w:ascii="仿宋_GB2312" w:hAnsi="仿宋_GB2312" w:cs="仿宋_GB2312"/>
          <w:b/>
          <w:szCs w:val="30"/>
          <w:u w:val="single"/>
        </w:rPr>
        <w:t>洪涝风险控制线原则上不能占用，不能建设与防洪排涝无关的项目</w:t>
      </w:r>
      <w:r>
        <w:rPr>
          <w:rFonts w:hint="eastAsia" w:ascii="仿宋_GB2312" w:hAnsi="仿宋_GB2312" w:cs="仿宋_GB2312"/>
          <w:szCs w:val="30"/>
        </w:rPr>
        <w:t>。中心城区防洪结合上游龟石水库拦洪调度，使沿贺江的城区防洪标准达到50年一遇洪水标准，贺江支流的城区防洪标准达到20年一遇洪水标准；昭平、钟山、富川县城防洪标准达20年一遇；各乡镇防洪标准为10年一遇。</w:t>
      </w:r>
    </w:p>
    <w:p>
      <w:pPr>
        <w:pStyle w:val="2"/>
        <w:ind w:firstLine="640"/>
        <w:rPr>
          <w:rFonts w:ascii="仿宋_GB2312" w:hAnsi="仿宋_GB2312" w:cs="仿宋_GB2312"/>
        </w:rPr>
      </w:pPr>
      <w:r>
        <w:rPr>
          <w:rFonts w:hint="eastAsia" w:ascii="仿宋_GB2312" w:hAnsi="仿宋_GB2312" w:cs="仿宋_GB2312"/>
        </w:rPr>
        <w:t>结合“海绵城市”建设，建立完善的超标雨水行泄通道体系。排涝标准自排采用20年一遇最大24小时暴雨洪水，抽排标准按内外江雨洪同期10年一遇24小时暴雨洪水。一般区域雨水管渠设计重现期为</w:t>
      </w:r>
      <w:r>
        <w:rPr>
          <w:rFonts w:ascii="仿宋_GB2312" w:hAnsi="仿宋_GB2312" w:cs="仿宋_GB2312"/>
        </w:rPr>
        <w:t>1</w:t>
      </w:r>
      <w:r>
        <w:rPr>
          <w:rFonts w:hint="eastAsia" w:ascii="仿宋_GB2312" w:hAnsi="仿宋_GB2312" w:cs="仿宋_GB2312"/>
        </w:rPr>
        <w:t>～</w:t>
      </w:r>
      <w:r>
        <w:rPr>
          <w:rFonts w:ascii="仿宋_GB2312" w:hAnsi="仿宋_GB2312" w:cs="仿宋_GB2312"/>
        </w:rPr>
        <w:t>2</w:t>
      </w:r>
      <w:r>
        <w:rPr>
          <w:rFonts w:hint="eastAsia" w:ascii="仿宋_GB2312" w:hAnsi="仿宋_GB2312" w:cs="仿宋_GB2312"/>
        </w:rPr>
        <w:t>年，中心城区雨水管渠设计重现期为3～</w:t>
      </w:r>
      <w:r>
        <w:rPr>
          <w:rFonts w:ascii="仿宋_GB2312" w:hAnsi="仿宋_GB2312" w:cs="仿宋_GB2312"/>
        </w:rPr>
        <w:t>5</w:t>
      </w:r>
      <w:r>
        <w:rPr>
          <w:rFonts w:hint="eastAsia" w:ascii="仿宋_GB2312" w:hAnsi="仿宋_GB2312" w:cs="仿宋_GB2312"/>
        </w:rPr>
        <w:t>年。</w:t>
      </w:r>
    </w:p>
    <w:p>
      <w:pPr>
        <w:pStyle w:val="5"/>
        <w:numPr>
          <w:ilvl w:val="0"/>
          <w:numId w:val="5"/>
        </w:numPr>
        <w:spacing w:before="156" w:after="0" w:afterLines="0"/>
        <w:ind w:left="0" w:firstLine="640"/>
      </w:pPr>
      <w:r>
        <w:rPr>
          <w:rFonts w:hint="eastAsia"/>
        </w:rPr>
        <w:t>抗震防御能力</w:t>
      </w:r>
    </w:p>
    <w:p>
      <w:pPr>
        <w:pStyle w:val="2"/>
        <w:ind w:firstLine="643"/>
        <w:rPr>
          <w:rFonts w:ascii="仿宋_GB2312" w:hAnsi="仿宋_GB2312" w:cs="仿宋_GB2312"/>
        </w:rPr>
      </w:pPr>
      <w:r>
        <w:rPr>
          <w:rFonts w:hint="eastAsia" w:ascii="仿宋_GB2312" w:hAnsi="仿宋_GB2312" w:cs="仿宋_GB2312"/>
          <w:b/>
          <w:bCs/>
        </w:rPr>
        <w:t>贯彻“预防为主，防御与救助相结合”的防震减灾工作方针。</w:t>
      </w:r>
      <w:r>
        <w:rPr>
          <w:rFonts w:hint="eastAsia" w:ascii="仿宋_GB2312" w:hAnsi="仿宋_GB2312" w:cs="仿宋_GB2312"/>
        </w:rPr>
        <w:t>到2035年，全市县级以上城市和重点乡镇基本具备综合抗御6级左右、相当于本地地震基本烈度的地震能力，全市防震抗灾能力达到自治区领先水平，中心城区的防震抗灾能力争取达到国内领先水平。针对地震断裂带和隐伏断裂带，在其地表迹线上最小避让距离为100～400米，重大工程应尽可能远离这一活动断裂带。</w:t>
      </w:r>
    </w:p>
    <w:p>
      <w:pPr>
        <w:pStyle w:val="5"/>
        <w:numPr>
          <w:ilvl w:val="0"/>
          <w:numId w:val="5"/>
        </w:numPr>
        <w:spacing w:before="156" w:after="0" w:afterLines="0"/>
        <w:ind w:left="0" w:firstLine="640"/>
      </w:pPr>
      <w:r>
        <w:rPr>
          <w:rFonts w:hint="eastAsia"/>
        </w:rPr>
        <w:t>消防安全体系</w:t>
      </w:r>
    </w:p>
    <w:p>
      <w:pPr>
        <w:ind w:firstLine="643"/>
        <w:rPr>
          <w:rFonts w:ascii="仿宋_GB2312" w:hAnsi="仿宋_GB2312" w:cs="仿宋_GB2312"/>
        </w:rPr>
      </w:pPr>
      <w:r>
        <w:rPr>
          <w:rFonts w:hint="eastAsia" w:ascii="仿宋_GB2312" w:hAnsi="仿宋_GB2312" w:cs="仿宋_GB2312"/>
          <w:b/>
          <w:bCs/>
          <w:szCs w:val="30"/>
        </w:rPr>
        <w:t>强化消防设施补充。</w:t>
      </w:r>
      <w:r>
        <w:rPr>
          <w:rFonts w:hint="eastAsia" w:ascii="仿宋_GB2312" w:hAnsi="仿宋_GB2312" w:cs="仿宋_GB2312"/>
          <w:szCs w:val="30"/>
        </w:rPr>
        <w:t>围绕“全灾种、大应急”综合性应急救援需求，按照“市级统筹、区县分工、先易后难、逐年推进”的原则，统筹推进全市消防站建设。市县各级结合政府所在区域设置应急指挥中心，到2035年，中心城区设置特勤消防站4座、一级普通消防站10座、消防训练基地1座；昭平县、钟山县和富川自治县县城每7平方千米设置不少于1所一级普通消防站；其他乡镇按常住人口2万人应建设1所小型消防站或乡镇专职消防队的原则完善消防设施。构建和完善“5分钟灭火救援圈”力量布局建设。</w:t>
      </w:r>
    </w:p>
    <w:p>
      <w:pPr>
        <w:ind w:firstLine="643"/>
        <w:rPr>
          <w:rFonts w:ascii="仿宋_GB2312" w:hAnsi="仿宋_GB2312" w:cs="仿宋_GB2312"/>
          <w:szCs w:val="30"/>
        </w:rPr>
      </w:pPr>
      <w:r>
        <w:rPr>
          <w:rFonts w:hint="eastAsia" w:ascii="仿宋_GB2312" w:hAnsi="仿宋_GB2312" w:cs="仿宋_GB2312"/>
          <w:b/>
          <w:bCs/>
          <w:szCs w:val="30"/>
        </w:rPr>
        <w:t>保障人群高度聚集、流动性大的城市公共场所。</w:t>
      </w:r>
      <w:r>
        <w:rPr>
          <w:rFonts w:hint="eastAsia" w:ascii="仿宋_GB2312" w:hAnsi="仿宋_GB2312" w:cs="仿宋_GB2312"/>
          <w:szCs w:val="30"/>
        </w:rPr>
        <w:t>切实保障体育场馆、车站、商务中心、超市和商场、娱乐场所等群死群伤恶性事故易于发生的地点的各种安全措施。</w:t>
      </w:r>
      <w:r>
        <w:rPr>
          <w:rFonts w:hint="eastAsia" w:ascii="仿宋_GB2312" w:hAnsi="仿宋_GB2312" w:cs="仿宋_GB2312"/>
          <w:b/>
          <w:bCs/>
          <w:szCs w:val="30"/>
          <w:u w:val="single"/>
        </w:rPr>
        <w:t>到2035年，全市人均应急避难场所面积不低于</w:t>
      </w:r>
      <w:r>
        <w:rPr>
          <w:rFonts w:ascii="仿宋_GB2312" w:hAnsi="仿宋_GB2312" w:cs="仿宋_GB2312"/>
          <w:b/>
          <w:bCs/>
          <w:szCs w:val="30"/>
          <w:u w:val="single"/>
        </w:rPr>
        <w:t>2</w:t>
      </w:r>
      <w:r>
        <w:rPr>
          <w:rFonts w:hint="eastAsia" w:ascii="仿宋_GB2312" w:hAnsi="仿宋_GB2312" w:cs="仿宋_GB2312"/>
          <w:b/>
          <w:bCs/>
          <w:szCs w:val="30"/>
          <w:u w:val="single"/>
        </w:rPr>
        <w:t>平方米</w:t>
      </w:r>
      <w:r>
        <w:rPr>
          <w:rFonts w:hint="eastAsia" w:ascii="仿宋_GB2312" w:hAnsi="仿宋_GB2312" w:cs="仿宋_GB2312"/>
          <w:szCs w:val="30"/>
          <w:u w:val="single"/>
        </w:rPr>
        <w:t>，</w:t>
      </w:r>
      <w:r>
        <w:rPr>
          <w:rFonts w:hint="eastAsia" w:ascii="仿宋_GB2312" w:hAnsi="仿宋_GB2312" w:cs="仿宋_GB2312"/>
          <w:szCs w:val="30"/>
        </w:rPr>
        <w:t>结合城市、城镇的公园、广场、停车场地、运动场及中学的操场等用地设置。</w:t>
      </w:r>
    </w:p>
    <w:p>
      <w:pPr>
        <w:pStyle w:val="2"/>
        <w:ind w:firstLine="643"/>
      </w:pPr>
      <w:r>
        <w:rPr>
          <w:rFonts w:hint="eastAsia" w:ascii="仿宋_GB2312" w:hAnsi="仿宋_GB2312" w:cs="仿宋_GB2312"/>
          <w:b/>
          <w:szCs w:val="30"/>
        </w:rPr>
        <w:t>提升应急物资实物储备能力。</w:t>
      </w:r>
      <w:r>
        <w:rPr>
          <w:rFonts w:hint="eastAsia" w:ascii="仿宋_GB2312" w:hAnsi="仿宋_GB2312" w:cs="仿宋_GB2312"/>
          <w:szCs w:val="30"/>
        </w:rPr>
        <w:t>到2</w:t>
      </w:r>
      <w:r>
        <w:rPr>
          <w:rFonts w:ascii="仿宋_GB2312" w:hAnsi="仿宋_GB2312" w:cs="仿宋_GB2312"/>
          <w:szCs w:val="30"/>
        </w:rPr>
        <w:t>035</w:t>
      </w:r>
      <w:r>
        <w:rPr>
          <w:rFonts w:hint="eastAsia" w:ascii="仿宋_GB2312" w:hAnsi="仿宋_GB2312" w:cs="仿宋_GB2312"/>
          <w:szCs w:val="30"/>
        </w:rPr>
        <w:t>年，在中心城区完善森林防灭火物资、防汛抗旱物资储备、综合性消防救援队伍应急物资等应急物资保持即有储备规模和价值。钟山县、富川瑶族自治县、昭平县至少建设1处应急物资储备库，推动交通不便和灾害事故风险等级高的乡镇应急物资储备。</w:t>
      </w:r>
    </w:p>
    <w:p>
      <w:pPr>
        <w:ind w:firstLine="643"/>
        <w:rPr>
          <w:rFonts w:ascii="仿宋_GB2312" w:hAnsi="仿宋_GB2312" w:cs="仿宋_GB2312"/>
          <w:szCs w:val="30"/>
        </w:rPr>
      </w:pPr>
      <w:r>
        <w:rPr>
          <w:rFonts w:hint="eastAsia" w:ascii="仿宋_GB2312" w:hAnsi="仿宋_GB2312" w:cs="仿宋_GB2312"/>
          <w:b/>
          <w:szCs w:val="30"/>
        </w:rPr>
        <w:t>构建完善的疏散通道系统</w:t>
      </w:r>
      <w:r>
        <w:rPr>
          <w:rFonts w:hint="eastAsia" w:ascii="仿宋_GB2312" w:hAnsi="仿宋_GB2312" w:cs="仿宋_GB2312"/>
          <w:b/>
          <w:bCs/>
          <w:szCs w:val="30"/>
        </w:rPr>
        <w:t>。</w:t>
      </w:r>
      <w:r>
        <w:rPr>
          <w:rFonts w:hint="eastAsia" w:ascii="仿宋_GB2312" w:hAnsi="仿宋_GB2312" w:cs="仿宋_GB2312"/>
          <w:szCs w:val="30"/>
        </w:rPr>
        <w:t>以区域高速公路为主体，市域一级公路为补充，形成“四横三纵二联一环”的区域性救援通道网络。中心城区、县城和乡镇内部疏散通道主要依托内部道路系统，构建疏散主通道、疏散次通道的应急通道系统网络。</w:t>
      </w:r>
    </w:p>
    <w:p>
      <w:pPr>
        <w:ind w:firstLine="643"/>
        <w:rPr>
          <w:rFonts w:ascii="仿宋_GB2312" w:hAnsi="仿宋_GB2312" w:cs="仿宋_GB2312"/>
        </w:rPr>
      </w:pPr>
      <w:r>
        <w:rPr>
          <w:rFonts w:hint="eastAsia" w:ascii="仿宋_GB2312" w:hAnsi="仿宋_GB2312" w:cs="仿宋_GB2312"/>
          <w:b/>
          <w:szCs w:val="30"/>
        </w:rPr>
        <w:t>加强防灾减灾基础设施建设，提升城乡工程设防能力</w:t>
      </w:r>
      <w:r>
        <w:rPr>
          <w:rFonts w:hint="eastAsia" w:ascii="仿宋_GB2312" w:hAnsi="仿宋_GB2312" w:cs="仿宋_GB2312"/>
          <w:b/>
          <w:bCs/>
          <w:szCs w:val="30"/>
        </w:rPr>
        <w:t>。</w:t>
      </w:r>
      <w:r>
        <w:rPr>
          <w:rFonts w:hint="eastAsia" w:ascii="仿宋_GB2312" w:hAnsi="仿宋_GB2312" w:cs="仿宋_GB2312"/>
          <w:szCs w:val="30"/>
        </w:rPr>
        <w:t>规划将五个给水厂联网，多水源供给，实行统一供水，提高供水的安全程度；规划燃气从西气东输二线管线取气，由门站引出多条次高压管，保障正常供气，同时，严格预留西气东输二线管线穿越中心城区管段的安全防护距离；加强给水管网、电力线路的网络建设，提高可靠性。</w:t>
      </w:r>
    </w:p>
    <w:p>
      <w:pPr>
        <w:pStyle w:val="5"/>
        <w:numPr>
          <w:ilvl w:val="0"/>
          <w:numId w:val="5"/>
        </w:numPr>
        <w:spacing w:before="156" w:after="0" w:afterLines="0"/>
        <w:ind w:left="0" w:firstLine="640"/>
      </w:pPr>
      <w:r>
        <w:rPr>
          <w:rFonts w:hint="eastAsia"/>
        </w:rPr>
        <w:t>公共卫生应急处置体系</w:t>
      </w:r>
    </w:p>
    <w:p>
      <w:pPr>
        <w:ind w:firstLine="643"/>
        <w:rPr>
          <w:rFonts w:ascii="仿宋_GB2312" w:hAnsi="仿宋_GB2312" w:cs="仿宋_GB2312"/>
        </w:rPr>
      </w:pPr>
      <w:r>
        <w:rPr>
          <w:rFonts w:hint="eastAsia" w:ascii="仿宋_GB2312" w:hAnsi="仿宋_GB2312" w:cs="仿宋_GB2312"/>
          <w:b/>
          <w:bCs/>
          <w:szCs w:val="30"/>
        </w:rPr>
        <w:t>筑牢公共卫生安全防护网。</w:t>
      </w:r>
      <w:r>
        <w:rPr>
          <w:rFonts w:hint="eastAsia" w:ascii="仿宋_GB2312" w:hAnsi="仿宋_GB2312" w:cs="仿宋_GB2312"/>
          <w:szCs w:val="30"/>
        </w:rPr>
        <w:t>在城东片区结合贺州市传染病专科医院预留1处突发公共卫生应急处置场所。依托市县级医疗中心和社区医疗机构构建分级分类的应急医疗救援体系。基于社区（行政村）设置，结合人口分布及片区，划定公共卫生应急处置场所，构建基本公共卫生应急处置空间单元。重点保障基本公共卫生应急处置空间单元内医疗救治、集中隔离、物资储备分发、应急公共服务和基础设施等必要的设施建设用地，以及紧急情况时能提供的应急医疗、基本生活保障物资分发场地。在国省道省际连接段预留突发公共安全检查站用地。</w:t>
      </w:r>
    </w:p>
    <w:p>
      <w:pPr>
        <w:pStyle w:val="5"/>
        <w:numPr>
          <w:ilvl w:val="0"/>
          <w:numId w:val="5"/>
        </w:numPr>
        <w:spacing w:before="156" w:after="0" w:afterLines="0"/>
        <w:ind w:left="0" w:firstLine="640"/>
      </w:pPr>
      <w:r>
        <w:rPr>
          <w:rFonts w:hint="eastAsia"/>
        </w:rPr>
        <w:t>危险化学品管控</w:t>
      </w:r>
    </w:p>
    <w:p>
      <w:pPr>
        <w:ind w:firstLine="643"/>
        <w:rPr>
          <w:rFonts w:ascii="仿宋_GB2312" w:hAnsi="仿宋_GB2312" w:cs="仿宋_GB2312"/>
          <w:szCs w:val="30"/>
        </w:rPr>
      </w:pPr>
      <w:r>
        <w:rPr>
          <w:rFonts w:hint="eastAsia" w:ascii="仿宋_GB2312" w:hAnsi="仿宋_GB2312" w:cs="仿宋_GB2312"/>
          <w:b/>
          <w:bCs/>
          <w:szCs w:val="30"/>
        </w:rPr>
        <w:t>统筹危险化学品产业布局。</w:t>
      </w:r>
      <w:r>
        <w:rPr>
          <w:rFonts w:hint="eastAsia" w:ascii="仿宋_GB2312" w:hAnsi="仿宋_GB2312" w:cs="仿宋_GB2312"/>
          <w:szCs w:val="30"/>
        </w:rPr>
        <w:t>规划2处易燃易爆化学危险品储藏区，并结合储藏区布局1条危险化学品运输专线。重点在广西东融先行示范区（贺州）、贺州高新技术产业开发区中的碳酸钙化工产业组团中布局，其他产业园区涉及危险化学品产业的宜在园内划定专门的化工产业组团进行集聚布局。对不在产业园区内的危险化学品生产、储存企业制定“关、停、并、转（迁）”计划，推动重大危险源过多或分散、安全防护距离不达标的危险化学品生产企业搬迁、远离城区及江河水资源保护地等环境敏感地区，避免企业二次搬迁。严格控制剧毒化学品和监控化学品项目新布点，新建危险化学品生产企业必须设置在各产业园内的专门化工产业组团。</w:t>
      </w:r>
    </w:p>
    <w:p>
      <w:pPr>
        <w:ind w:firstLine="640"/>
        <w:rPr>
          <w:rFonts w:ascii="仿宋_GB2312" w:hAnsi="仿宋_GB2312" w:cs="仿宋_GB2312"/>
          <w:szCs w:val="30"/>
        </w:rPr>
      </w:pPr>
      <w:r>
        <w:rPr>
          <w:rFonts w:hint="eastAsia" w:ascii="仿宋_GB2312" w:hAnsi="仿宋_GB2312" w:cs="仿宋_GB2312"/>
          <w:szCs w:val="30"/>
        </w:rPr>
        <w:t>到2035年，防范化解危险化学品重大安全风险体制机制法制健全，安全生产责任体系严密，化工园区安全监管责任压实，危险化学品重特大事故得到有效遏制。化工、油气和烟花爆竹事故总量以及化工较大事故总量明显下降，建立危险化学品隐患排查治理和预防体系。</w:t>
      </w:r>
    </w:p>
    <w:p>
      <w:pPr>
        <w:pStyle w:val="5"/>
        <w:numPr>
          <w:ilvl w:val="0"/>
          <w:numId w:val="5"/>
        </w:numPr>
        <w:spacing w:before="156" w:after="156"/>
        <w:ind w:left="0" w:firstLine="640"/>
      </w:pPr>
      <w:r>
        <w:rPr>
          <w:rFonts w:hint="eastAsia"/>
        </w:rPr>
        <w:t>建设公安基础设施</w:t>
      </w:r>
    </w:p>
    <w:p>
      <w:pPr>
        <w:pStyle w:val="2"/>
        <w:ind w:firstLine="640"/>
      </w:pPr>
      <w:r>
        <w:rPr>
          <w:rFonts w:hint="eastAsia"/>
        </w:rPr>
        <w:t>建设科技引领、基础支撑、融合共享、保障有力的公安服务体系。中心城区打造“一社区一警两辅”安全服务体系，保障市、县两级公安机关业务技术用房、监管场所、派出所、警务站、检查站、交警队、执法办案中心、警务技能训练基地、警犬基地、涉案停车场、涉案财物保管中心等建设用地需求，城镇社区按合理的服务半径设置派出所、警务站等公安设施，落实“1、3、5分钟”警务快速响应机制。</w:t>
      </w:r>
    </w:p>
    <w:p>
      <w:pPr>
        <w:ind w:firstLine="720"/>
        <w:rPr>
          <w:rFonts w:ascii="仿宋_GB2312" w:hAnsi="仿宋_GB2312" w:cs="仿宋_GB2312"/>
          <w:sz w:val="36"/>
          <w:szCs w:val="36"/>
          <w:lang w:val="zh-CN"/>
        </w:rPr>
      </w:pPr>
      <w:bookmarkStart w:id="529" w:name="_Toc19426"/>
      <w:bookmarkStart w:id="530" w:name="_Toc8510"/>
      <w:bookmarkStart w:id="531" w:name="_Toc30180"/>
      <w:bookmarkStart w:id="532" w:name="_Toc20370"/>
      <w:bookmarkStart w:id="533" w:name="_Toc32609"/>
      <w:bookmarkStart w:id="534" w:name="_Toc4482"/>
      <w:bookmarkStart w:id="535" w:name="_Toc338"/>
      <w:bookmarkStart w:id="536" w:name="_Toc20277"/>
      <w:r>
        <w:rPr>
          <w:rFonts w:hint="eastAsia" w:ascii="仿宋_GB2312" w:hAnsi="仿宋_GB2312" w:cs="仿宋_GB2312"/>
          <w:sz w:val="36"/>
          <w:szCs w:val="36"/>
          <w:lang w:val="zh-CN"/>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bookmarkStart w:id="537" w:name="_Toc213018287"/>
      <w:bookmarkStart w:id="538" w:name="_Toc32729_WPSOffice_Level1"/>
      <w:r>
        <w:rPr>
          <w:rFonts w:hint="eastAsia" w:ascii="方正小标宋_GBK" w:hAnsi="方正小标宋_GBK" w:cs="方正小标宋_GBK"/>
          <w:szCs w:val="36"/>
          <w:lang w:val="zh-CN"/>
        </w:rPr>
        <w:t>国土综合整治与生态修复</w:t>
      </w:r>
      <w:bookmarkEnd w:id="529"/>
      <w:bookmarkEnd w:id="530"/>
      <w:bookmarkEnd w:id="531"/>
      <w:bookmarkEnd w:id="532"/>
      <w:bookmarkEnd w:id="533"/>
      <w:bookmarkEnd w:id="534"/>
      <w:bookmarkEnd w:id="535"/>
      <w:bookmarkEnd w:id="536"/>
      <w:bookmarkEnd w:id="537"/>
      <w:bookmarkEnd w:id="538"/>
    </w:p>
    <w:p>
      <w:pPr>
        <w:pStyle w:val="4"/>
        <w:numPr>
          <w:ilvl w:val="0"/>
          <w:numId w:val="15"/>
        </w:numPr>
        <w:tabs>
          <w:tab w:val="left" w:pos="360"/>
        </w:tabs>
        <w:spacing w:before="156" w:beforeLines="50" w:line="460" w:lineRule="exact"/>
        <w:ind w:left="0" w:firstLine="0"/>
        <w:rPr>
          <w:rFonts w:ascii="Times New Roman" w:hAnsi="Times New Roman"/>
        </w:rPr>
      </w:pPr>
      <w:bookmarkStart w:id="539" w:name="_Toc25221"/>
      <w:bookmarkStart w:id="540" w:name="_Toc32630_WPSOffice_Level2"/>
      <w:bookmarkStart w:id="541" w:name="_Toc213018288"/>
      <w:bookmarkStart w:id="542" w:name="_Toc15031"/>
      <w:bookmarkStart w:id="543" w:name="_Toc11655"/>
      <w:bookmarkStart w:id="544" w:name="_Toc27028"/>
      <w:bookmarkStart w:id="545" w:name="_Toc19233"/>
      <w:r>
        <w:rPr>
          <w:rFonts w:hint="eastAsia" w:ascii="Times New Roman" w:hAnsi="Times New Roman"/>
        </w:rPr>
        <w:t>综合整治和生态修复分区</w:t>
      </w:r>
      <w:bookmarkEnd w:id="539"/>
      <w:bookmarkEnd w:id="540"/>
      <w:bookmarkEnd w:id="541"/>
      <w:bookmarkEnd w:id="542"/>
      <w:bookmarkEnd w:id="543"/>
      <w:bookmarkEnd w:id="544"/>
      <w:bookmarkEnd w:id="545"/>
    </w:p>
    <w:p>
      <w:pPr>
        <w:pStyle w:val="5"/>
        <w:numPr>
          <w:ilvl w:val="0"/>
          <w:numId w:val="5"/>
        </w:numPr>
        <w:spacing w:before="156" w:after="0" w:afterLines="0"/>
        <w:ind w:left="0" w:firstLine="640"/>
      </w:pPr>
      <w:bookmarkStart w:id="546" w:name="_Toc1143"/>
      <w:bookmarkStart w:id="547" w:name="_Toc16966"/>
      <w:bookmarkStart w:id="548" w:name="_Toc32368"/>
      <w:bookmarkStart w:id="549" w:name="_Toc4234"/>
      <w:r>
        <w:rPr>
          <w:rFonts w:hint="eastAsia"/>
        </w:rPr>
        <w:t>科学划分六大分区</w:t>
      </w:r>
    </w:p>
    <w:p>
      <w:pPr>
        <w:widowControl/>
        <w:ind w:firstLine="643"/>
        <w:jc w:val="distribute"/>
        <w:rPr>
          <w:rFonts w:ascii="仿宋_GB2312" w:hAnsi="仿宋_GB2312" w:cs="仿宋_GB2312"/>
        </w:rPr>
      </w:pPr>
      <w:r>
        <w:rPr>
          <w:rFonts w:hint="eastAsia" w:ascii="仿宋_GB2312" w:hAnsi="仿宋_GB2312" w:cs="仿宋_GB2312"/>
          <w:b/>
          <w:bCs/>
        </w:rPr>
        <w:t>分区分类开展综合整治与生态修复。</w:t>
      </w:r>
      <w:r>
        <w:rPr>
          <w:rFonts w:hint="eastAsia" w:ascii="仿宋_GB2312" w:hAnsi="仿宋_GB2312" w:cs="仿宋_GB2312"/>
        </w:rPr>
        <w:t>坚守耕地保护红线，助力生态文明建设，科学划分六类重点区域，因地制宜实施区域治理，并与贺州市“1355”的全域魅力空间体系打造相衔接，通过统筹推进全域土地综合整治，大力开展山水林田湖草沙系统治理与矿山生态修复，落实国土空间</w:t>
      </w:r>
      <w:r>
        <w:rPr>
          <w:rFonts w:hint="eastAsia" w:ascii="仿宋_GB2312" w:hAnsi="仿宋_GB2312" w:cs="仿宋_GB2312"/>
          <w:spacing w:val="-10"/>
        </w:rPr>
        <w:t>高效</w:t>
      </w:r>
      <w:r>
        <w:rPr>
          <w:rFonts w:hint="eastAsia" w:ascii="仿宋_GB2312" w:hAnsi="仿宋_GB2312" w:cs="仿宋_GB2312"/>
          <w:spacing w:val="-13"/>
        </w:rPr>
        <w:t>利用</w:t>
      </w:r>
      <w:r>
        <w:rPr>
          <w:rFonts w:hint="eastAsia" w:ascii="仿宋_GB2312" w:hAnsi="仿宋_GB2312" w:cs="仿宋_GB2312"/>
        </w:rPr>
        <w:t>，筑牢南岭生态安全屏障，提升生态资源综合利用价值，实现人与自然和谐共生。</w:t>
      </w:r>
    </w:p>
    <w:p>
      <w:pPr>
        <w:pStyle w:val="2"/>
        <w:ind w:firstLine="643"/>
        <w:rPr>
          <w:rFonts w:ascii="仿宋_GB2312" w:hAnsi="仿宋_GB2312" w:cs="仿宋_GB2312"/>
        </w:rPr>
      </w:pPr>
      <w:r>
        <w:rPr>
          <w:rFonts w:hint="eastAsia" w:ascii="仿宋_GB2312" w:hAnsi="仿宋_GB2312" w:cs="仿宋_GB2312"/>
          <w:b/>
          <w:bCs/>
          <w:szCs w:val="30"/>
        </w:rPr>
        <w:t>——国土综合整治与更新提升区。</w:t>
      </w:r>
      <w:r>
        <w:rPr>
          <w:rFonts w:hint="eastAsia" w:ascii="仿宋_GB2312" w:hAnsi="仿宋_GB2312" w:cs="仿宋_GB2312"/>
          <w:bCs/>
          <w:szCs w:val="30"/>
        </w:rPr>
        <w:t>主要分布在贺江与桂江流域及信都平原、桂岭盆地、八步盆地、黄姚盆地、钟山盆地、富川平原等地势较为平坦区域。以农用地整理、建设用地整理及乡村生态保护修复潜力为基础，统筹推进全域土地综合整治，优化农村生产、生活、生态空间布局，促进耕地保护与土地节约集约利用，为乡村振兴和城镇高质量建设提供有力支撑。</w:t>
      </w:r>
      <w:r>
        <w:rPr>
          <w:rFonts w:hint="eastAsia" w:ascii="仿宋_GB2312" w:hAnsi="仿宋_GB2312" w:cs="仿宋_GB2312"/>
          <w:szCs w:val="30"/>
        </w:rPr>
        <w:t>融入“两区一带”，整合政策优势和农耕资源，在流域农田集中区推动开发补充耕地、高标准农田建设、耕地提质改造等农用地整治，打造现代化农业产业园区；优化国土空间用地布局，实施农村建设用地整治，</w:t>
      </w:r>
      <w:r>
        <w:rPr>
          <w:rFonts w:hint="eastAsia" w:ascii="仿宋_GB2312" w:hAnsi="仿宋_GB2312" w:cs="仿宋_GB2312"/>
          <w:bCs/>
          <w:szCs w:val="30"/>
          <w:lang w:bidi="ar"/>
        </w:rPr>
        <w:t>多元化开创城镇低效用地盘活路径，聚力八步区、平桂区重点片区城市更新，</w:t>
      </w:r>
      <w:r>
        <w:rPr>
          <w:rFonts w:hint="eastAsia" w:ascii="仿宋_GB2312" w:hAnsi="仿宋_GB2312" w:cs="仿宋_GB2312"/>
          <w:szCs w:val="30"/>
        </w:rPr>
        <w:t>促进城乡协调发展；推进土壤污染防治和安全利用，严控农业面源污染，</w:t>
      </w:r>
      <w:r>
        <w:rPr>
          <w:rFonts w:hint="eastAsia" w:ascii="仿宋_GB2312" w:hAnsi="仿宋_GB2312" w:cs="仿宋_GB2312"/>
          <w:bCs/>
          <w:szCs w:val="30"/>
          <w:lang w:bidi="ar"/>
        </w:rPr>
        <w:t>聚焦垃圾分类、黑臭水体治理工作，全面推动人居环境整治及公共设施升级，</w:t>
      </w:r>
      <w:r>
        <w:rPr>
          <w:rFonts w:hint="eastAsia" w:ascii="仿宋_GB2312" w:hAnsi="仿宋_GB2312" w:cs="仿宋_GB2312"/>
          <w:szCs w:val="30"/>
        </w:rPr>
        <w:t>建设美丽宜居乡村；</w:t>
      </w:r>
      <w:r>
        <w:rPr>
          <w:rFonts w:hint="eastAsia" w:ascii="仿宋_GB2312" w:hAnsi="仿宋_GB2312" w:cs="仿宋_GB2312"/>
          <w:bCs/>
          <w:szCs w:val="30"/>
          <w:lang w:bidi="ar"/>
        </w:rPr>
        <w:t>加强历史文化保护和再利用，串联历史文化游径，让“贺州记忆”活起来、“贺州经济”动起来，</w:t>
      </w:r>
      <w:r>
        <w:rPr>
          <w:rFonts w:hint="eastAsia" w:ascii="仿宋_GB2312" w:hAnsi="仿宋_GB2312" w:cs="仿宋_GB2312"/>
          <w:kern w:val="0"/>
          <w:szCs w:val="30"/>
          <w:lang w:bidi="ar"/>
        </w:rPr>
        <w:t>协同打造历史人文单元魅力空间</w:t>
      </w:r>
      <w:r>
        <w:rPr>
          <w:rFonts w:hint="eastAsia" w:ascii="仿宋_GB2312" w:hAnsi="仿宋_GB2312" w:cs="仿宋_GB2312"/>
          <w:bCs/>
          <w:szCs w:val="30"/>
          <w:lang w:bidi="ar"/>
        </w:rPr>
        <w:t>。</w:t>
      </w:r>
    </w:p>
    <w:p>
      <w:pPr>
        <w:widowControl/>
        <w:ind w:firstLine="643"/>
        <w:rPr>
          <w:rFonts w:ascii="仿宋_GB2312" w:hAnsi="仿宋_GB2312" w:cs="仿宋_GB2312"/>
        </w:rPr>
      </w:pPr>
      <w:r>
        <w:rPr>
          <w:rFonts w:hint="eastAsia" w:ascii="仿宋_GB2312" w:hAnsi="仿宋_GB2312" w:cs="仿宋_GB2312"/>
          <w:b/>
          <w:bCs/>
          <w:szCs w:val="30"/>
        </w:rPr>
        <w:t>——流域自然保护与生态修复区。</w:t>
      </w:r>
      <w:r>
        <w:rPr>
          <w:rFonts w:hint="eastAsia" w:ascii="仿宋_GB2312" w:hAnsi="仿宋_GB2312" w:cs="仿宋_GB2312"/>
          <w:bCs/>
          <w:szCs w:val="30"/>
        </w:rPr>
        <w:t>主要分布于桂江、贺江干流河段及其支流流域，涉及八步区东部与南部、平桂区北部、昭平县西部、钟山县西南部、富川瑶族自治县南部。重点以贺江流域、桂江流域为单元，系统推进流域生态修复，协调“资源保护、系统修复、生态产业”共同发展。因地制宜进行水环境综合治理，落实河湖管护常态化，持续保障水质优良率；开展美丽河湖建设，实施大宁河、都江河、马尾河、林洞河等重要河湖生态保护修复，建设河岸生态缓冲带，加强修复龟石水库、合面狮水库湿地生态系统，擦亮湿地公园“金招牌”，推进水生生物栖息地保护和生态流量保障工作；强化桂江生态文旅产业带支撑。严格保护龟石水库，推进市域范围内桂江、贺江生态廊道建设，助力临贺故城、黄姚古镇、公安镇、朝东镇等山水地区打造文旅融合发展新标杆、人与自然和谐宜居新典范，践行“山水林田湖草系统治理”，协同打造历史自然复合单元、自然景观单元等魅力空间。</w:t>
      </w:r>
    </w:p>
    <w:p>
      <w:pPr>
        <w:ind w:firstLine="643"/>
        <w:rPr>
          <w:rFonts w:ascii="仿宋_GB2312" w:hAnsi="仿宋_GB2312" w:cs="仿宋_GB2312"/>
          <w:bCs/>
          <w:szCs w:val="30"/>
        </w:rPr>
      </w:pPr>
      <w:r>
        <w:rPr>
          <w:rFonts w:hint="eastAsia" w:ascii="仿宋_GB2312" w:hAnsi="仿宋_GB2312" w:cs="仿宋_GB2312"/>
          <w:b/>
          <w:bCs/>
          <w:szCs w:val="30"/>
        </w:rPr>
        <w:t>——森林生态修复与功能提升区。</w:t>
      </w:r>
      <w:r>
        <w:rPr>
          <w:rFonts w:hint="eastAsia" w:ascii="仿宋_GB2312" w:hAnsi="仿宋_GB2312" w:cs="仿宋_GB2312"/>
          <w:bCs/>
          <w:szCs w:val="30"/>
        </w:rPr>
        <w:t>该区主要分布于大桂山、姑婆山、滑水冲、七冲、西岭山及钟山县中部山区，涉及八步区北部与东南部、平桂区东北部、昭平县北部、钟山县西北部与东部、富川瑶族自治县西南部与东北部。依托大瑶山、大桂山两大生态系统，以森林质量建设为重点，整体优化区域生态功能。推进森林造林更新和提质增效发展，加强鳄蜥等珍稀濒危野生动物栖息地保育防护，</w:t>
      </w:r>
      <w:r>
        <w:rPr>
          <w:rFonts w:hint="eastAsia" w:ascii="仿宋_GB2312" w:hAnsi="仿宋_GB2312" w:cs="仿宋_GB2312"/>
          <w:szCs w:val="30"/>
        </w:rPr>
        <w:t>提升生态多样性与生态系统稳定性；</w:t>
      </w:r>
      <w:r>
        <w:rPr>
          <w:rFonts w:hint="eastAsia" w:ascii="仿宋_GB2312" w:hAnsi="仿宋_GB2312" w:cs="仿宋_GB2312"/>
          <w:bCs/>
          <w:szCs w:val="30"/>
        </w:rPr>
        <w:t>充分发挥林业资源优势，加强森林公园建设管理，大力发展碳汇经济及生态旅游。</w:t>
      </w:r>
    </w:p>
    <w:p>
      <w:pPr>
        <w:snapToGrid w:val="0"/>
        <w:ind w:firstLine="643"/>
        <w:rPr>
          <w:rFonts w:ascii="仿宋_GB2312" w:hAnsi="仿宋_GB2312" w:cs="仿宋_GB2312"/>
          <w:b/>
          <w:bCs/>
          <w:szCs w:val="30"/>
        </w:rPr>
      </w:pPr>
      <w:r>
        <w:rPr>
          <w:rFonts w:hint="eastAsia" w:ascii="仿宋_GB2312" w:hAnsi="仿宋_GB2312" w:cs="仿宋_GB2312"/>
          <w:b/>
          <w:bCs/>
          <w:szCs w:val="30"/>
        </w:rPr>
        <w:t>——水源涵养与水土保持综合区。</w:t>
      </w:r>
      <w:r>
        <w:rPr>
          <w:rFonts w:hint="eastAsia" w:ascii="仿宋_GB2312" w:hAnsi="仿宋_GB2312" w:cs="仿宋_GB2312"/>
          <w:bCs/>
          <w:szCs w:val="30"/>
        </w:rPr>
        <w:t>该区主要分布在贺江与桂江流域上游喀斯特地貌区及昭平丘陵岩溶地区，</w:t>
      </w:r>
      <w:r>
        <w:rPr>
          <w:rFonts w:hint="eastAsia" w:ascii="仿宋_GB2312" w:hAnsi="仿宋_GB2312" w:cs="仿宋_GB2312"/>
          <w:szCs w:val="30"/>
        </w:rPr>
        <w:t>涉及八步区西部、平桂区东北部、昭平县北部、钟山县西北部、富川瑶族自治县东部。重点加强石漠化治理和水土流失防治，营建多类型、多层次的生态防护墙，增加岩溶碳汇。坚持水源保护区源头保护治理，严格保护“两江”流域沿岸及中部山区植被，提升区域水源涵养生态服务功能，有效控制水土流失风险；大力推广“封、造、退、管、沼、补”林业建设六字方针及混交造林模式，提高治理科技含量及群众积极性，扎实推进石漠化综合治理。</w:t>
      </w:r>
    </w:p>
    <w:p>
      <w:pPr>
        <w:pStyle w:val="2"/>
        <w:ind w:firstLine="643"/>
        <w:rPr>
          <w:rFonts w:ascii="仿宋_GB2312" w:hAnsi="仿宋_GB2312" w:cs="仿宋_GB2312"/>
          <w:lang w:bidi="ar"/>
        </w:rPr>
      </w:pPr>
      <w:r>
        <w:rPr>
          <w:rFonts w:hint="eastAsia" w:ascii="仿宋_GB2312" w:hAnsi="仿宋_GB2312" w:cs="仿宋_GB2312"/>
          <w:b/>
          <w:bCs/>
          <w:szCs w:val="30"/>
        </w:rPr>
        <w:t>——矿山修复治理与绿色建设区。</w:t>
      </w:r>
      <w:r>
        <w:rPr>
          <w:rFonts w:hint="eastAsia" w:ascii="仿宋_GB2312" w:hAnsi="仿宋_GB2312" w:cs="仿宋_GB2312"/>
          <w:szCs w:val="30"/>
        </w:rPr>
        <w:t>该区主要分布在八步盆地及昭平丘陵周边中低山处，</w:t>
      </w:r>
      <w:r>
        <w:rPr>
          <w:rFonts w:hint="eastAsia" w:ascii="仿宋_GB2312" w:hAnsi="仿宋_GB2312" w:cs="仿宋_GB2312"/>
          <w:bCs/>
          <w:szCs w:val="30"/>
        </w:rPr>
        <w:t>涉及八步区西北部、平桂区北部、昭平县东部、钟山县东部与中部、富川瑶族自治县南部与中部。重点探索矿山修复利用技术与路径，</w:t>
      </w:r>
      <w:r>
        <w:rPr>
          <w:rFonts w:hint="eastAsia" w:ascii="仿宋_GB2312" w:hAnsi="仿宋_GB2312" w:cs="仿宋_GB2312"/>
          <w:lang w:bidi="ar"/>
        </w:rPr>
        <w:t>统筹谋划矿山可持续发展，探索矿山生态修复市场化机制及“矿山修复+”新模式，因地制宜实施</w:t>
      </w:r>
      <w:r>
        <w:rPr>
          <w:rFonts w:hint="eastAsia" w:ascii="仿宋_GB2312" w:hAnsi="仿宋_GB2312" w:cs="仿宋_GB2312"/>
        </w:rPr>
        <w:t>废弃矿山资源再利用和矿区环境</w:t>
      </w:r>
      <w:r>
        <w:rPr>
          <w:rFonts w:hint="eastAsia" w:ascii="仿宋_GB2312" w:hAnsi="仿宋_GB2312" w:cs="仿宋_GB2312"/>
          <w:lang w:bidi="ar"/>
        </w:rPr>
        <w:t>修复；积极推进绿色矿山建设，完善企业激励政策，支撑矿业高质量发展。</w:t>
      </w:r>
    </w:p>
    <w:p>
      <w:pPr>
        <w:pStyle w:val="2"/>
        <w:ind w:firstLine="643"/>
        <w:rPr>
          <w:rFonts w:ascii="仿宋_GB2312" w:hAnsi="仿宋_GB2312" w:cs="仿宋_GB2312"/>
          <w:lang w:bidi="ar"/>
        </w:rPr>
      </w:pPr>
      <w:r>
        <w:rPr>
          <w:rFonts w:hint="eastAsia" w:ascii="仿宋_GB2312" w:hAnsi="仿宋_GB2312" w:cs="仿宋_GB2312"/>
          <w:b/>
          <w:bCs/>
          <w:lang w:bidi="ar"/>
        </w:rPr>
        <w:t>——地质灾害治理与风险防控区。</w:t>
      </w:r>
      <w:r>
        <w:rPr>
          <w:rFonts w:hint="eastAsia" w:ascii="仿宋_GB2312" w:hAnsi="仿宋_GB2312" w:cs="仿宋_GB2312"/>
          <w:lang w:bidi="ar"/>
        </w:rPr>
        <w:t>该区主要分布在贺州盆地、都庞岭余脉、大桂山、昭平丘陵周边中低山处，涉及八步区北部、平桂区东北部与西部、昭平县西部、钟山县西部、富川瑶族自治县南部。重点推进地质灾害综合防治，实施预防性工程措施，因地制宜对部分承灾对象实施避险搬迁；加强地质灾害气象风险预警预报与隐患点排查，提高地质灾害巡排查工作频次，发现新增隐患及时纳入管控，推动地质灾害风险管控动态更新；加强区内群众的防灾意识教育和知识培训。</w:t>
      </w:r>
    </w:p>
    <w:p>
      <w:pPr>
        <w:pStyle w:val="4"/>
        <w:numPr>
          <w:ilvl w:val="0"/>
          <w:numId w:val="15"/>
        </w:numPr>
        <w:tabs>
          <w:tab w:val="left" w:pos="360"/>
        </w:tabs>
        <w:spacing w:before="156" w:beforeLines="50" w:line="460" w:lineRule="exact"/>
        <w:ind w:left="0" w:firstLine="0"/>
        <w:rPr>
          <w:rFonts w:ascii="Times New Roman" w:hAnsi="Times New Roman"/>
        </w:rPr>
      </w:pPr>
      <w:bookmarkStart w:id="550" w:name="_Toc22818"/>
      <w:bookmarkStart w:id="551" w:name="_Toc18941_WPSOffice_Level2"/>
      <w:bookmarkStart w:id="552" w:name="_Toc1736"/>
      <w:bookmarkStart w:id="553" w:name="_Toc29500"/>
      <w:bookmarkStart w:id="554" w:name="_Toc8262"/>
      <w:bookmarkStart w:id="555" w:name="_Toc30635"/>
      <w:bookmarkStart w:id="556" w:name="_Toc213018289"/>
      <w:bookmarkStart w:id="557" w:name="_Toc4211"/>
      <w:r>
        <w:rPr>
          <w:rFonts w:hint="eastAsia" w:ascii="Times New Roman" w:hAnsi="Times New Roman"/>
        </w:rPr>
        <w:t>国土综合整治</w:t>
      </w:r>
      <w:bookmarkEnd w:id="550"/>
      <w:bookmarkEnd w:id="551"/>
      <w:bookmarkEnd w:id="552"/>
      <w:bookmarkEnd w:id="553"/>
      <w:bookmarkEnd w:id="554"/>
      <w:bookmarkEnd w:id="555"/>
      <w:bookmarkEnd w:id="556"/>
      <w:bookmarkEnd w:id="557"/>
    </w:p>
    <w:p>
      <w:pPr>
        <w:pStyle w:val="5"/>
        <w:numPr>
          <w:ilvl w:val="0"/>
          <w:numId w:val="5"/>
        </w:numPr>
        <w:spacing w:before="156" w:after="0" w:afterLines="0"/>
        <w:ind w:left="0" w:firstLine="640"/>
      </w:pPr>
      <w:r>
        <w:rPr>
          <w:rFonts w:hint="eastAsia"/>
        </w:rPr>
        <w:t>农用地整治</w:t>
      </w:r>
    </w:p>
    <w:p>
      <w:pPr>
        <w:pStyle w:val="2"/>
        <w:ind w:firstLine="643"/>
        <w:rPr>
          <w:rFonts w:ascii="仿宋_GB2312" w:hAnsi="仿宋_GB2312" w:cs="仿宋_GB2312"/>
          <w:b/>
          <w:bCs/>
          <w:szCs w:val="30"/>
        </w:rPr>
      </w:pPr>
      <w:r>
        <w:rPr>
          <w:rFonts w:hint="eastAsia" w:ascii="仿宋_GB2312" w:hAnsi="仿宋_GB2312" w:cs="仿宋_GB2312"/>
          <w:b/>
          <w:bCs/>
          <w:szCs w:val="30"/>
        </w:rPr>
        <w:t>适度开发宜耕后备资源。</w:t>
      </w:r>
      <w:r>
        <w:rPr>
          <w:rFonts w:hint="eastAsia" w:ascii="仿宋_GB2312" w:hAnsi="仿宋_GB2312" w:cs="仿宋_GB2312"/>
          <w:szCs w:val="30"/>
        </w:rPr>
        <w:t>在保证生态环境的前提下，深入挖潜耕地后备资源，因地制宜开展宜耕后备土地开发补充耕地、土地复垦补充耕地、耕地恢复等，增加耕地存量及永久基本农田补划储备潜力，强化耕地“三位一体”保护，严格管控耕地“非粮化”，实现土地资源可持续利用。重点在贺州盆地、大桂山低山处、昭平丘陵低山处、都庞岭低山处等耕地后备资源充足地区开展宜耕后备资源开发重点工程。</w:t>
      </w:r>
    </w:p>
    <w:p>
      <w:pPr>
        <w:pStyle w:val="2"/>
        <w:ind w:firstLine="643"/>
        <w:rPr>
          <w:rFonts w:ascii="仿宋_GB2312" w:hAnsi="仿宋_GB2312" w:cs="仿宋_GB2312"/>
          <w:szCs w:val="30"/>
        </w:rPr>
      </w:pPr>
      <w:r>
        <w:rPr>
          <w:rFonts w:hint="eastAsia" w:ascii="仿宋_GB2312" w:hAnsi="仿宋_GB2312" w:cs="仿宋_GB2312"/>
          <w:b/>
          <w:bCs/>
          <w:szCs w:val="30"/>
        </w:rPr>
        <w:t>重点推进高标准农田建设。</w:t>
      </w:r>
      <w:r>
        <w:rPr>
          <w:rFonts w:hint="eastAsia" w:ascii="仿宋_GB2312" w:hAnsi="仿宋_GB2312" w:cs="仿宋_GB2312"/>
          <w:szCs w:val="30"/>
        </w:rPr>
        <w:t>通过实施高标准农田建设，加快田、土、水、路、林、电、技、管综合整治，切实补上农业基础设施短板，提升耕地质量，确保建一块成一块，将永久基本农田逐步全部建成高标准农田，实现农田连片化，为贺江流域粮菜轮作农业产业规模化经营创造条件。</w:t>
      </w:r>
      <w:r>
        <w:rPr>
          <w:rFonts w:hint="eastAsia" w:ascii="仿宋_GB2312" w:hAnsi="仿宋_GB2312" w:cs="仿宋_GB2312"/>
        </w:rPr>
        <w:t>把永久基本农田全部建成旱涝保收的高标准农田</w:t>
      </w:r>
      <w:r>
        <w:rPr>
          <w:rFonts w:hint="eastAsia" w:ascii="仿宋_GB2312" w:hAnsi="仿宋_GB2312" w:cs="仿宋_GB2312"/>
          <w:szCs w:val="30"/>
        </w:rPr>
        <w:t>，累计改造提升面积不低于23334公顷。重点在八步盆地、富川平原及信都平原开展高标准农田建设重点工程。</w:t>
      </w:r>
    </w:p>
    <w:p>
      <w:pPr>
        <w:ind w:firstLine="643"/>
        <w:rPr>
          <w:rFonts w:ascii="仿宋_GB2312" w:hAnsi="仿宋_GB2312" w:cs="仿宋_GB2312"/>
          <w:szCs w:val="30"/>
        </w:rPr>
      </w:pPr>
      <w:r>
        <w:rPr>
          <w:rFonts w:hint="eastAsia" w:ascii="仿宋_GB2312" w:hAnsi="仿宋_GB2312" w:cs="仿宋_GB2312"/>
          <w:b/>
          <w:bCs/>
          <w:szCs w:val="30"/>
        </w:rPr>
        <w:t>积极推进耕地提质改造。</w:t>
      </w:r>
      <w:r>
        <w:rPr>
          <w:rFonts w:hint="eastAsia" w:ascii="仿宋_GB2312" w:hAnsi="仿宋_GB2312" w:cs="仿宋_GB2312"/>
          <w:szCs w:val="30"/>
        </w:rPr>
        <w:t>加大中低产田改造和农田基础设施建设，综合整治田、水、路、林、村，增加有效耕地面积。有序引导工程恢复、即可恢复园地、林地等其他农用地恢复为耕地，缓解耕地保护压力。积极推进耕地提质改造“旱改水”，改善农业生产条件与提升耕地质量。重点在龟石灌区、合面狮灌区、龙潭灌区、鸟源灌区等水源充足且地势较为平坦区域开展耕地提质改造重点工程。</w:t>
      </w:r>
    </w:p>
    <w:p>
      <w:pPr>
        <w:pStyle w:val="5"/>
        <w:numPr>
          <w:ilvl w:val="0"/>
          <w:numId w:val="5"/>
        </w:numPr>
        <w:spacing w:before="156" w:after="0" w:afterLines="0"/>
        <w:ind w:left="0" w:firstLine="640"/>
      </w:pPr>
      <w:r>
        <w:rPr>
          <w:rFonts w:hint="eastAsia"/>
        </w:rPr>
        <w:t>农村建设用地整治</w:t>
      </w:r>
    </w:p>
    <w:p>
      <w:pPr>
        <w:pStyle w:val="2"/>
        <w:ind w:firstLine="643"/>
        <w:rPr>
          <w:rFonts w:ascii="仿宋_GB2312" w:hAnsi="仿宋_GB2312" w:cs="仿宋_GB2312"/>
          <w:szCs w:val="30"/>
        </w:rPr>
      </w:pPr>
      <w:r>
        <w:rPr>
          <w:rFonts w:hint="eastAsia" w:ascii="仿宋_GB2312" w:hAnsi="仿宋_GB2312" w:cs="仿宋_GB2312"/>
          <w:b/>
          <w:bCs/>
          <w:szCs w:val="30"/>
        </w:rPr>
        <w:t>稳妥推进农村建设用地整治。</w:t>
      </w:r>
      <w:r>
        <w:rPr>
          <w:rFonts w:hint="eastAsia" w:ascii="仿宋_GB2312" w:hAnsi="仿宋_GB2312" w:cs="仿宋_GB2312"/>
          <w:szCs w:val="30"/>
        </w:rPr>
        <w:t>充分尊重农民意愿，优化农村建设用地布局。依托乡村人口控制县域农村建设用地总量，在乡镇层面分配，按照村庄分类指引，分别给予不同类型村庄不同人均农村建设用地指标。以乡镇为单元统筹，各村庄按照现状基础和发展条件有收有放，对农村建设用地结构进行调整，将人均农村建设用地面积控制在合理范围内，提高农村建设用地集约节约利用程度。完善农村基础设施建设，改善农村人居环境和农业生产条件，促进美丽乡村建设和城乡一体化发展。重点结合市域副中心城市、县域中心城镇、中心镇及市域行政界线处偏远镇开展农村建设用地整治重点工程。</w:t>
      </w:r>
    </w:p>
    <w:p>
      <w:pPr>
        <w:pStyle w:val="5"/>
        <w:numPr>
          <w:ilvl w:val="0"/>
          <w:numId w:val="5"/>
        </w:numPr>
        <w:spacing w:before="156" w:after="0" w:afterLines="0"/>
        <w:ind w:left="0" w:firstLine="640"/>
      </w:pPr>
      <w:r>
        <w:rPr>
          <w:rFonts w:hint="eastAsia"/>
        </w:rPr>
        <w:t>农村环境综合治理</w:t>
      </w:r>
    </w:p>
    <w:p>
      <w:pPr>
        <w:pStyle w:val="2"/>
        <w:ind w:firstLine="643"/>
        <w:rPr>
          <w:rFonts w:ascii="仿宋_GB2312" w:hAnsi="仿宋_GB2312" w:cs="仿宋_GB2312"/>
          <w:szCs w:val="30"/>
        </w:rPr>
      </w:pPr>
      <w:r>
        <w:rPr>
          <w:rFonts w:hint="eastAsia" w:ascii="仿宋_GB2312" w:hAnsi="仿宋_GB2312" w:cs="仿宋_GB2312"/>
          <w:b/>
          <w:bCs/>
          <w:szCs w:val="30"/>
        </w:rPr>
        <w:t>开展农村环境综合治理。</w:t>
      </w:r>
      <w:r>
        <w:rPr>
          <w:rFonts w:hint="eastAsia" w:ascii="仿宋_GB2312" w:hAnsi="仿宋_GB2312" w:cs="仿宋_GB2312"/>
          <w:szCs w:val="30"/>
        </w:rPr>
        <w:t>按照“谁污染，谁治理”的原则，明确治理、修复的责任主体和要求，对污染源采取措施移除或清理污染源、阻断或隔离污染。对已污染的区域采取不影响农业生产、不降低土壤生产功能的生物、物理、化学等手段治理，恢复区域的土壤原有的质量状况。到2035年，确保全市受污染耕地安全利用率达到95%以上，污染地块安全利用率达到95%以上，土壤生态环境质量得到改善。严格控制化肥和农药使用，持续推进化肥、农药减量化以及农药包装废弃物回收处理工作。推广农作物病虫害绿色防控产品和技术，持续开展测土配方施肥推广工作。通过乡村公共环境治理，解决乱搭乱建、乱堆乱放、火灾隐患等问题，确保“干净整洁有序”。推进乡村绿化美化，加强水、路、村、宅绿化与生态环境保护，保护好“青山绿水田园”。加强乡村风貌引导，避免千村一面、大拆大建，重点结合历史文化特色引导市域西北片区历史文化名村和传统村落维持乡土特色及乡土文化。重点在钟山历史文化集中区、贺州文化集中区人口密度较大的区域开展农村环境综合治理重点工程，内容包括土壤污染防治、农业面源污染风险防治和村容村貌整体提升</w:t>
      </w:r>
      <w:r>
        <w:rPr>
          <w:rFonts w:hint="eastAsia" w:ascii="仿宋_GB2312" w:hAnsi="仿宋_GB2312" w:cs="仿宋_GB2312"/>
          <w:bCs/>
          <w:szCs w:val="30"/>
        </w:rPr>
        <w:t>。</w:t>
      </w:r>
    </w:p>
    <w:p>
      <w:pPr>
        <w:pStyle w:val="5"/>
        <w:numPr>
          <w:ilvl w:val="0"/>
          <w:numId w:val="5"/>
        </w:numPr>
        <w:spacing w:before="156" w:after="0" w:afterLines="0"/>
        <w:ind w:left="0" w:firstLine="640"/>
      </w:pPr>
      <w:r>
        <w:rPr>
          <w:rFonts w:hint="eastAsia"/>
        </w:rPr>
        <w:t>城镇低效用地再开发</w:t>
      </w:r>
    </w:p>
    <w:p>
      <w:pPr>
        <w:pStyle w:val="2"/>
        <w:ind w:firstLine="643"/>
        <w:rPr>
          <w:rFonts w:ascii="仿宋_GB2312" w:hAnsi="仿宋_GB2312" w:cs="仿宋_GB2312"/>
          <w:szCs w:val="30"/>
        </w:rPr>
      </w:pPr>
      <w:r>
        <w:rPr>
          <w:rFonts w:hint="eastAsia" w:ascii="仿宋_GB2312" w:hAnsi="仿宋_GB2312" w:cs="仿宋_GB2312"/>
          <w:b/>
          <w:bCs/>
          <w:szCs w:val="30"/>
        </w:rPr>
        <w:t>推动城镇低效用地再开发。</w:t>
      </w:r>
      <w:r>
        <w:rPr>
          <w:rFonts w:hint="eastAsia" w:ascii="仿宋_GB2312" w:hAnsi="仿宋_GB2312" w:cs="仿宋_GB2312"/>
          <w:bCs/>
          <w:szCs w:val="30"/>
        </w:rPr>
        <w:t>依托“三廊道”，加强全域旅游空间保障，</w:t>
      </w:r>
      <w:r>
        <w:rPr>
          <w:rFonts w:hint="eastAsia" w:ascii="仿宋_GB2312" w:hAnsi="仿宋_GB2312" w:cs="仿宋_GB2312"/>
          <w:szCs w:val="30"/>
        </w:rPr>
        <w:t>统筹考虑昭平县城、钟山县城、富川县城、信都片区等副中心城市及其城郊区域的乡镇功能再造、产业结构调整、生态环境保护、历史文化传承、公共卫生安全等因素，健全配套政策，开创多元化、多渠道的再开发路径，引导并结合城郊村升级改造和闲置厂房治理等工作，全面提升节约集约用地水平，促进城镇生产、生活、生态空间有机融合。重点在中心城区及县城所在地开展城镇低效用地再开发重点工程。</w:t>
      </w:r>
    </w:p>
    <w:p>
      <w:pPr>
        <w:pStyle w:val="5"/>
        <w:numPr>
          <w:ilvl w:val="0"/>
          <w:numId w:val="5"/>
        </w:numPr>
        <w:spacing w:before="156" w:after="0" w:afterLines="0"/>
        <w:ind w:left="0" w:firstLine="640"/>
      </w:pPr>
      <w:r>
        <w:rPr>
          <w:rFonts w:hint="eastAsia"/>
        </w:rPr>
        <w:t>城镇环境综合治理</w:t>
      </w:r>
    </w:p>
    <w:p>
      <w:pPr>
        <w:pStyle w:val="2"/>
        <w:ind w:firstLine="643"/>
        <w:rPr>
          <w:rFonts w:ascii="仿宋_GB2312" w:hAnsi="仿宋_GB2312" w:cs="仿宋_GB2312"/>
          <w:szCs w:val="30"/>
        </w:rPr>
      </w:pPr>
      <w:r>
        <w:rPr>
          <w:rFonts w:hint="eastAsia" w:ascii="仿宋_GB2312" w:hAnsi="仿宋_GB2312" w:cs="仿宋_GB2312"/>
          <w:b/>
          <w:bCs/>
          <w:szCs w:val="30"/>
        </w:rPr>
        <w:t>优化城乡生活垃圾及固体废弃物处置。</w:t>
      </w:r>
      <w:r>
        <w:rPr>
          <w:rFonts w:hint="eastAsia" w:ascii="仿宋_GB2312" w:hAnsi="仿宋_GB2312" w:cs="仿宋_GB2312"/>
          <w:szCs w:val="30"/>
        </w:rPr>
        <w:t>制定垃圾分类方案，对城乡各级处理站、场进行整体布局规划，实现城乡生活垃圾统一监管。到2035年，各县（区）生活垃圾清运、处置体系有效建立，垃圾转运站、收运车辆、处置场有效运转、台账清晰，生活垃圾无害化处理率达到99%，生活垃圾回收利用率达到50%以上，真正实现厨余垃圾变废为宝、垃圾分类减量化、无害化处理。重点在中心城区及各县城所在地开展生活垃圾无害化处理重点工程。</w:t>
      </w:r>
    </w:p>
    <w:p>
      <w:pPr>
        <w:pStyle w:val="2"/>
        <w:ind w:firstLine="643"/>
        <w:rPr>
          <w:rFonts w:ascii="仿宋_GB2312" w:hAnsi="仿宋_GB2312" w:cs="仿宋_GB2312"/>
          <w:szCs w:val="30"/>
        </w:rPr>
      </w:pPr>
      <w:r>
        <w:rPr>
          <w:rFonts w:hint="eastAsia" w:ascii="仿宋_GB2312" w:hAnsi="仿宋_GB2312" w:cs="仿宋_GB2312"/>
          <w:b/>
          <w:bCs/>
          <w:szCs w:val="30"/>
        </w:rPr>
        <w:t>实施城镇黑臭水体治理。</w:t>
      </w:r>
      <w:r>
        <w:rPr>
          <w:rFonts w:hint="eastAsia" w:ascii="仿宋_GB2312" w:hAnsi="仿宋_GB2312" w:cs="仿宋_GB2312"/>
          <w:szCs w:val="30"/>
        </w:rPr>
        <w:t>按照“节水优先、空间均衡、系统治理、两手发力”的原则，开展全系统、全流域综合治理。到2035年，实现黑臭水体清除率达到100%，水体洁净无异味，周边无污水直排，河岸无垃圾或杂物堆放，居民满意度不低于90%。同时，通过恢复生态流量，提升自净能力，改善生态景观，对已完成黑臭水体治理的，进行功能和景观提升工程。重点在中心城区开展黑臭水体治理重点工程。</w:t>
      </w:r>
    </w:p>
    <w:p>
      <w:pPr>
        <w:pStyle w:val="4"/>
        <w:numPr>
          <w:ilvl w:val="0"/>
          <w:numId w:val="15"/>
        </w:numPr>
        <w:tabs>
          <w:tab w:val="left" w:pos="360"/>
        </w:tabs>
        <w:spacing w:before="312" w:beforeLines="100" w:line="460" w:lineRule="exact"/>
        <w:ind w:left="0" w:firstLine="0"/>
        <w:rPr>
          <w:rFonts w:ascii="Times New Roman" w:hAnsi="Times New Roman"/>
        </w:rPr>
      </w:pPr>
      <w:bookmarkStart w:id="558" w:name="_Toc12852"/>
      <w:bookmarkStart w:id="559" w:name="_Toc7923"/>
      <w:bookmarkStart w:id="560" w:name="_Toc19245"/>
      <w:bookmarkStart w:id="561" w:name="_Toc27751"/>
      <w:bookmarkStart w:id="562" w:name="_Toc213018290"/>
      <w:bookmarkStart w:id="563" w:name="_Toc11511"/>
      <w:bookmarkStart w:id="564" w:name="_Toc17275"/>
      <w:bookmarkStart w:id="565" w:name="_Toc16480_WPSOffice_Level2"/>
      <w:r>
        <w:rPr>
          <w:rFonts w:hint="eastAsia" w:ascii="Times New Roman" w:hAnsi="Times New Roman"/>
        </w:rPr>
        <w:t>山水林田湖草沙生态修复</w:t>
      </w:r>
      <w:bookmarkEnd w:id="558"/>
      <w:bookmarkEnd w:id="559"/>
      <w:bookmarkEnd w:id="560"/>
      <w:bookmarkEnd w:id="561"/>
      <w:bookmarkEnd w:id="562"/>
      <w:bookmarkEnd w:id="563"/>
      <w:bookmarkEnd w:id="564"/>
      <w:bookmarkEnd w:id="565"/>
    </w:p>
    <w:p>
      <w:pPr>
        <w:pStyle w:val="5"/>
        <w:numPr>
          <w:ilvl w:val="0"/>
          <w:numId w:val="5"/>
        </w:numPr>
        <w:spacing w:before="156" w:after="0" w:afterLines="0"/>
        <w:ind w:left="0" w:firstLine="640"/>
      </w:pPr>
      <w:r>
        <w:rPr>
          <w:rFonts w:hint="eastAsia"/>
        </w:rPr>
        <w:t>流域水生态和湿地修复</w:t>
      </w:r>
    </w:p>
    <w:p>
      <w:pPr>
        <w:pStyle w:val="2"/>
        <w:ind w:firstLine="643"/>
        <w:rPr>
          <w:rFonts w:ascii="仿宋_GB2312" w:hAnsi="仿宋_GB2312" w:cs="仿宋_GB2312"/>
          <w:szCs w:val="30"/>
        </w:rPr>
      </w:pPr>
      <w:r>
        <w:rPr>
          <w:rFonts w:hint="eastAsia" w:ascii="仿宋_GB2312" w:hAnsi="仿宋_GB2312" w:cs="仿宋_GB2312"/>
          <w:b/>
          <w:bCs/>
          <w:szCs w:val="30"/>
        </w:rPr>
        <w:t>提升河湖湿地生态功能。</w:t>
      </w:r>
      <w:r>
        <w:rPr>
          <w:rFonts w:hint="eastAsia" w:ascii="仿宋_GB2312" w:hAnsi="仿宋_GB2312" w:cs="仿宋_GB2312"/>
          <w:szCs w:val="30"/>
        </w:rPr>
        <w:t>根据“水生态分区、差异化施策”的治理思路和“水资源、水安全、水空间、水用途”的水生态系统治理体系，以河湖长制为抓手，重点在潇贺古道、贺江沿线开展贺江流域湿地和水环境综合治理重点工程，在桂江沿线结合西江生态副廊道开展桂江流域湿地和水环境综合治理重点工程，总面积为126.13平方千米，内容包括湿地生态修复、水生态和水环境综合治理。</w:t>
      </w:r>
    </w:p>
    <w:p>
      <w:pPr>
        <w:pStyle w:val="2"/>
        <w:ind w:firstLine="643"/>
        <w:rPr>
          <w:rFonts w:ascii="仿宋_GB2312" w:hAnsi="仿宋_GB2312" w:cs="仿宋_GB2312"/>
          <w:szCs w:val="30"/>
        </w:rPr>
      </w:pPr>
      <w:r>
        <w:rPr>
          <w:rFonts w:hint="eastAsia" w:ascii="仿宋_GB2312" w:hAnsi="仿宋_GB2312" w:cs="仿宋_GB2312"/>
          <w:b/>
          <w:bCs/>
          <w:szCs w:val="30"/>
        </w:rPr>
        <w:t>——重要江河源头治理。</w:t>
      </w:r>
      <w:r>
        <w:rPr>
          <w:rFonts w:hint="eastAsia" w:ascii="仿宋_GB2312" w:hAnsi="仿宋_GB2312" w:cs="仿宋_GB2312"/>
          <w:szCs w:val="30"/>
        </w:rPr>
        <w:t>加强贺江源头茗山环境保护，提高水源涵养林种植率，开展源头水质监管。</w:t>
      </w:r>
    </w:p>
    <w:p>
      <w:pPr>
        <w:pStyle w:val="2"/>
        <w:ind w:firstLine="643"/>
        <w:rPr>
          <w:rFonts w:ascii="仿宋_GB2312" w:hAnsi="仿宋_GB2312" w:cs="仿宋_GB2312"/>
          <w:szCs w:val="30"/>
        </w:rPr>
      </w:pPr>
      <w:r>
        <w:rPr>
          <w:rFonts w:hint="eastAsia" w:ascii="仿宋_GB2312" w:hAnsi="仿宋_GB2312" w:cs="仿宋_GB2312"/>
          <w:b/>
          <w:bCs/>
          <w:szCs w:val="30"/>
        </w:rPr>
        <w:t>——湿地生态修复。</w:t>
      </w:r>
      <w:r>
        <w:rPr>
          <w:rFonts w:hint="eastAsia" w:ascii="仿宋_GB2312" w:hAnsi="仿宋_GB2312" w:cs="仿宋_GB2312"/>
          <w:szCs w:val="30"/>
        </w:rPr>
        <w:t>围绕广西贺州合面狮湖国家湿地公园、广西昭平桂江国家湿地公园、广西富川龟石国家湿地公园及潇贺古道水陆两路交通枢纽遗址，实施生态缓冲带修复，提升蓄水滞洪能力。</w:t>
      </w:r>
    </w:p>
    <w:p>
      <w:pPr>
        <w:pStyle w:val="2"/>
        <w:ind w:firstLine="643"/>
        <w:rPr>
          <w:rFonts w:ascii="仿宋_GB2312" w:hAnsi="仿宋_GB2312" w:cs="仿宋_GB2312"/>
          <w:szCs w:val="30"/>
        </w:rPr>
      </w:pPr>
      <w:r>
        <w:rPr>
          <w:rFonts w:hint="eastAsia" w:ascii="仿宋_GB2312" w:hAnsi="仿宋_GB2312" w:cs="仿宋_GB2312"/>
          <w:b/>
          <w:bCs/>
          <w:szCs w:val="30"/>
        </w:rPr>
        <w:t>——重要流域治理。</w:t>
      </w:r>
      <w:r>
        <w:rPr>
          <w:rFonts w:hint="eastAsia" w:ascii="仿宋_GB2312" w:hAnsi="仿宋_GB2312" w:cs="仿宋_GB2312"/>
          <w:szCs w:val="30"/>
        </w:rPr>
        <w:t>开展贺江上游地区龟石水库至独岭站水利闸坝等设施生态化改造，推进水系连通及农村水系整治，增强水源涵养和调节能力。实施贺江流域大宁河、都江河、马尾河、林洞河等主要河湖生态修复工程，建设河岸缓冲带，推进水生生物栖息地保护和生态流量保障工作。以保护桂江流域自然资源禀赋为前提，统筹山水林田湖草沙各要素，充分利用良好的生态环境，探索完善“种植、生产、文旅、康养”绿色发展产业集群。</w:t>
      </w:r>
    </w:p>
    <w:p>
      <w:pPr>
        <w:pStyle w:val="5"/>
        <w:numPr>
          <w:ilvl w:val="0"/>
          <w:numId w:val="5"/>
        </w:numPr>
        <w:spacing w:before="156" w:after="0" w:afterLines="0"/>
        <w:ind w:left="0" w:firstLine="640"/>
        <w:rPr>
          <w:lang w:val="zh-CN"/>
        </w:rPr>
      </w:pPr>
      <w:r>
        <w:rPr>
          <w:rFonts w:hint="eastAsia"/>
          <w:lang w:val="zh-CN"/>
        </w:rPr>
        <w:t>森林生态修复</w:t>
      </w:r>
    </w:p>
    <w:p>
      <w:pPr>
        <w:ind w:firstLine="643"/>
        <w:rPr>
          <w:rFonts w:ascii="仿宋_GB2312" w:hAnsi="仿宋_GB2312" w:cs="仿宋_GB2312"/>
        </w:rPr>
      </w:pPr>
      <w:r>
        <w:rPr>
          <w:rFonts w:hint="eastAsia" w:ascii="仿宋_GB2312" w:hAnsi="仿宋_GB2312" w:cs="仿宋_GB2312"/>
          <w:b/>
          <w:bCs/>
          <w:szCs w:val="30"/>
        </w:rPr>
        <w:t>精准提升森林质量。</w:t>
      </w:r>
      <w:r>
        <w:rPr>
          <w:rFonts w:hint="eastAsia" w:ascii="仿宋_GB2312" w:hAnsi="仿宋_GB2312" w:cs="仿宋_GB2312"/>
          <w:szCs w:val="30"/>
        </w:rPr>
        <w:t>围绕八步东部、平桂南部、昭平全域、钟山西部以及富川西部等以森林生态系统为主的生态空间，分步实施防护林营造、封山育林、森林抚育、退化林修复等措施；积极优化大桂山—犁头顶—昭平丘陵林区树种结构，推广乡土树种和珍贵树种；构建蓝带、绿廊连通生态空间保障广西大桂山鳄蜥国家级自然保护区、广西七冲国家级自然保护区等珍稀动植物栖息地安全；做好广西姑婆山国家森林公园、广西大桂山国家森林公园以及其他自治区级森林公园营造工作，拓展绿色空间，发展生态旅游，提升林业综合效益。重点在富川桃美岭片区、都庞岭余脉、大桂山、昭平七冲开展4项森林生态保护和修复重点工程，总面积为</w:t>
      </w:r>
      <w:r>
        <w:rPr>
          <w:rFonts w:ascii="仿宋_GB2312" w:hAnsi="仿宋_GB2312" w:cs="仿宋_GB2312"/>
          <w:szCs w:val="30"/>
        </w:rPr>
        <w:t>854.16</w:t>
      </w:r>
      <w:r>
        <w:rPr>
          <w:rFonts w:hint="eastAsia" w:ascii="仿宋_GB2312" w:hAnsi="仿宋_GB2312" w:cs="仿宋_GB2312"/>
          <w:szCs w:val="30"/>
        </w:rPr>
        <w:t>平方千米，内容包括生态多样性保护、森林生态修复与质量提升和速生林整治。</w:t>
      </w:r>
    </w:p>
    <w:p>
      <w:pPr>
        <w:pStyle w:val="5"/>
        <w:numPr>
          <w:ilvl w:val="0"/>
          <w:numId w:val="5"/>
        </w:numPr>
        <w:spacing w:before="156" w:after="0" w:afterLines="0"/>
        <w:ind w:left="0" w:firstLine="640"/>
      </w:pPr>
      <w:r>
        <w:rPr>
          <w:rFonts w:hint="eastAsia"/>
        </w:rPr>
        <w:t>水土流失与石漠化治理</w:t>
      </w:r>
    </w:p>
    <w:p>
      <w:pPr>
        <w:pStyle w:val="2"/>
        <w:ind w:firstLine="643"/>
        <w:rPr>
          <w:rFonts w:ascii="仿宋_GB2312" w:hAnsi="仿宋_GB2312" w:cs="仿宋_GB2312"/>
          <w:szCs w:val="32"/>
        </w:rPr>
      </w:pPr>
      <w:r>
        <w:rPr>
          <w:rFonts w:hint="eastAsia" w:ascii="仿宋_GB2312" w:hAnsi="仿宋_GB2312" w:cs="仿宋_GB2312"/>
          <w:b/>
          <w:bCs/>
          <w:szCs w:val="32"/>
        </w:rPr>
        <w:t>提高石漠化岩溶地区生态韧性。</w:t>
      </w:r>
      <w:r>
        <w:rPr>
          <w:rFonts w:hint="eastAsia" w:ascii="仿宋_GB2312" w:hAnsi="仿宋_GB2312" w:cs="仿宋_GB2312"/>
          <w:szCs w:val="32"/>
        </w:rPr>
        <w:t>以岩溶地区的石漠化区域为主要目标，切实抓好贺江流域上游横塘水库至龟石水库现有林地管护，对海拔高、坡面陡、基岩裸露率高的岩溶石漠化土地实行封山育林，对基岩裸露率低的宜林地进行人工造林，加快陡坡耕地退耕还林，对桂江流域长岭—石鼓岭—滴水岭一带易旱易涝、水土流失严重的耕地进行治理，增强防旱涝灾害能力。鼓励发展沼气、太阳能等新型清洁能源，优化农村能源结构，减少薪材消耗，进一步巩固石漠化治理成果；贯彻森林生态效益补偿政策，有效抑制人为破坏活动；在昭平县、钟山县、平桂区的东北部和富川瑶族自治县东部等石漠化重点区探索石漠化治理的混交造林模式，促进林草植被保护和恢复。重点在富川蜈蚣下山片区开展富川东南部水土保持综合治理重点工程，总面积为263.14平方千米，内容为石漠化综合治理。</w:t>
      </w:r>
    </w:p>
    <w:p>
      <w:pPr>
        <w:pStyle w:val="2"/>
        <w:ind w:firstLine="643"/>
        <w:rPr>
          <w:rFonts w:ascii="仿宋_GB2312" w:hAnsi="仿宋_GB2312" w:cs="仿宋_GB2312"/>
          <w:szCs w:val="32"/>
        </w:rPr>
      </w:pPr>
      <w:r>
        <w:rPr>
          <w:rFonts w:hint="eastAsia" w:ascii="仿宋_GB2312" w:hAnsi="仿宋_GB2312" w:cs="仿宋_GB2312"/>
          <w:b/>
          <w:bCs/>
          <w:szCs w:val="32"/>
        </w:rPr>
        <w:t>提高水土流失治理率。</w:t>
      </w:r>
      <w:r>
        <w:rPr>
          <w:rFonts w:hint="eastAsia" w:ascii="仿宋_GB2312" w:hAnsi="仿宋_GB2312" w:cs="仿宋_GB2312"/>
          <w:szCs w:val="32"/>
        </w:rPr>
        <w:t>以贺州市大桂山、昭平县松林峡、钟山县城鸡仔岩、富川瑶族自治县龟石水库及涝溪饮用水水源地周边、富川江沿岸及牛儿凹—天炉岭—旗岭—葫芦岭一带为重点对象，保护和建设水土保持涵养林，调节径流，减少风蚀、水蚀等对土壤的破坏，保证水土保持功能。对桂东山地丘陵自治区级水土流失重点治理区八步片区忠福河、桂岭河等小流域采用挡土墙、排水沟等工程措施，集中拦蓄泥水，后续通过土地平整和林草种植等复垦措施，对已破坏的地形及植被进行恢复，改善生态环境。到2035年，全市水土保持率达到90.17%以上，确保土壤侵蚀量显著减少。重点在广西七冲国家级自然保护区、广西昭平五指山自治区森林公园及周围关键生态区开展山地水土保持综合治理重点工程，总面积为326.03平方千米，内容为水土流失综合治理。</w:t>
      </w:r>
    </w:p>
    <w:p>
      <w:pPr>
        <w:pStyle w:val="5"/>
        <w:numPr>
          <w:ilvl w:val="0"/>
          <w:numId w:val="5"/>
        </w:numPr>
        <w:spacing w:before="156" w:after="0" w:afterLines="0"/>
        <w:ind w:left="0" w:firstLine="640"/>
      </w:pPr>
      <w:r>
        <w:rPr>
          <w:rFonts w:hint="eastAsia"/>
        </w:rPr>
        <w:t>矿山修复治理</w:t>
      </w:r>
    </w:p>
    <w:p>
      <w:pPr>
        <w:pStyle w:val="2"/>
        <w:ind w:firstLine="643"/>
        <w:rPr>
          <w:rFonts w:ascii="仿宋_GB2312" w:hAnsi="仿宋_GB2312" w:cs="仿宋_GB2312"/>
          <w:szCs w:val="30"/>
        </w:rPr>
      </w:pPr>
      <w:r>
        <w:rPr>
          <w:rFonts w:hint="eastAsia" w:ascii="仿宋_GB2312" w:hAnsi="仿宋_GB2312" w:cs="仿宋_GB2312"/>
          <w:b/>
          <w:bCs/>
          <w:szCs w:val="30"/>
        </w:rPr>
        <w:t>推进历史遗留矿山复垦复绿。</w:t>
      </w:r>
      <w:r>
        <w:rPr>
          <w:rFonts w:hint="eastAsia" w:ascii="仿宋_GB2312" w:hAnsi="仿宋_GB2312" w:cs="仿宋_GB2312"/>
          <w:szCs w:val="30"/>
        </w:rPr>
        <w:t>开展历史遗留矿山核查工作，形成废弃矿山数据库和废弃矿山生态修复管理系统，为规划编制、工程部署、政策完善提供支撑。统筹山上山下一体化治理，以八步区水龟顶—尖峰一带，平桂区铁矿、铅矿开采集中带，钟山县矿产开采集中带山体生态范围内的历史遗留废弃矿山为重点对象，探索市场化机制及</w:t>
      </w:r>
      <w:r>
        <w:rPr>
          <w:rFonts w:hint="eastAsia" w:ascii="仿宋_GB2312" w:hAnsi="仿宋_GB2312" w:cs="仿宋_GB2312"/>
        </w:rPr>
        <w:t>废弃矿山土地综合利用途径</w:t>
      </w:r>
      <w:r>
        <w:rPr>
          <w:rFonts w:hint="eastAsia" w:ascii="仿宋_GB2312" w:hAnsi="仿宋_GB2312" w:cs="仿宋_GB2312"/>
          <w:szCs w:val="30"/>
        </w:rPr>
        <w:t>，因地制宜运用政府和社会资本合作（PPP）、生态环境导向的开发（EOD）、全过程工程咨询服务、第三方服务等新模式，有序引导加快矿山生态修复工作，</w:t>
      </w:r>
      <w:r>
        <w:rPr>
          <w:rFonts w:hint="eastAsia" w:ascii="仿宋_GB2312" w:hAnsi="仿宋_GB2312" w:cs="仿宋_GB2312"/>
          <w:spacing w:val="-10"/>
        </w:rPr>
        <w:t>恢复矿区生态本底，提</w:t>
      </w:r>
      <w:r>
        <w:rPr>
          <w:rFonts w:hint="eastAsia" w:ascii="仿宋_GB2312" w:hAnsi="仿宋_GB2312" w:cs="仿宋_GB2312"/>
          <w:spacing w:val="-8"/>
        </w:rPr>
        <w:t>升生态自愈能力</w:t>
      </w:r>
      <w:r>
        <w:rPr>
          <w:rFonts w:hint="eastAsia" w:ascii="仿宋_GB2312" w:hAnsi="仿宋_GB2312" w:cs="仿宋_GB2312"/>
          <w:szCs w:val="30"/>
        </w:rPr>
        <w:t>。重点在</w:t>
      </w:r>
      <w:bookmarkStart w:id="566" w:name="_Hlk130484018"/>
      <w:r>
        <w:rPr>
          <w:rFonts w:hint="eastAsia" w:ascii="仿宋_GB2312" w:hAnsi="仿宋_GB2312" w:cs="仿宋_GB2312"/>
          <w:szCs w:val="30"/>
        </w:rPr>
        <w:t>平桂北部、钟山西部废弃矿山集中区开展矿山生态修复治理重点工程，</w:t>
      </w:r>
      <w:bookmarkEnd w:id="566"/>
      <w:r>
        <w:rPr>
          <w:rFonts w:hint="eastAsia" w:ascii="仿宋_GB2312" w:hAnsi="仿宋_GB2312" w:cs="仿宋_GB2312"/>
          <w:szCs w:val="30"/>
        </w:rPr>
        <w:t>总面积为26.1平方千米，内容为废弃矿山复垦复绿。</w:t>
      </w:r>
    </w:p>
    <w:p>
      <w:pPr>
        <w:pStyle w:val="5"/>
        <w:numPr>
          <w:ilvl w:val="0"/>
          <w:numId w:val="5"/>
        </w:numPr>
        <w:spacing w:before="156" w:after="0" w:afterLines="0"/>
        <w:ind w:left="0" w:firstLine="640"/>
      </w:pPr>
      <w:r>
        <w:rPr>
          <w:rFonts w:hint="eastAsia"/>
        </w:rPr>
        <w:t>绿色矿山建设</w:t>
      </w:r>
    </w:p>
    <w:p>
      <w:pPr>
        <w:pStyle w:val="71"/>
        <w:numPr>
          <w:ilvl w:val="255"/>
          <w:numId w:val="0"/>
        </w:numPr>
        <w:snapToGrid w:val="0"/>
        <w:ind w:firstLine="643" w:firstLineChars="200"/>
        <w:rPr>
          <w:rFonts w:ascii="仿宋_GB2312" w:hAnsi="仿宋_GB2312" w:cs="仿宋_GB2312"/>
          <w:szCs w:val="32"/>
        </w:rPr>
      </w:pPr>
      <w:r>
        <w:rPr>
          <w:rFonts w:hint="eastAsia" w:ascii="仿宋_GB2312" w:hAnsi="仿宋_GB2312" w:cs="仿宋_GB2312"/>
          <w:b/>
          <w:bCs/>
          <w:szCs w:val="32"/>
        </w:rPr>
        <w:t>全面达成绿色矿山建设目标。</w:t>
      </w:r>
      <w:r>
        <w:rPr>
          <w:rFonts w:hint="eastAsia" w:ascii="仿宋_GB2312" w:hAnsi="仿宋_GB2312" w:cs="仿宋_GB2312"/>
          <w:szCs w:val="32"/>
        </w:rPr>
        <w:t>积极推进绿色矿山建设，优化完善企业激励政策机制，促进矿山生产工艺流程不断改进和优化，着重推进绿色矿业发展建设与思勤江小流域工矿废弃地平整利用、珊瑚钨锡矿区矿山地质环境恢复治理与土壤污染治理、土地整治等相结合，提高全市矿区整体生态环境质量，实现矿产资源开发与利用高质量发展。到2035年，全市规模以上应建矿山全部达到绿色矿山标准，矿山“三率”水平达标率不低于95%。</w:t>
      </w:r>
      <w:bookmarkEnd w:id="546"/>
      <w:bookmarkEnd w:id="547"/>
      <w:bookmarkEnd w:id="548"/>
      <w:bookmarkEnd w:id="549"/>
      <w:bookmarkStart w:id="567" w:name="_Toc28229"/>
      <w:bookmarkStart w:id="568" w:name="_Toc19779"/>
      <w:bookmarkStart w:id="569" w:name="_Toc6425"/>
      <w:bookmarkStart w:id="570" w:name="_Toc22845"/>
      <w:bookmarkStart w:id="571" w:name="_Toc3361"/>
      <w:bookmarkStart w:id="572" w:name="_Toc12580"/>
      <w:bookmarkStart w:id="573" w:name="_Toc1099"/>
      <w:bookmarkStart w:id="574" w:name="_Toc13851"/>
      <w:r>
        <w:rPr>
          <w:rFonts w:hint="eastAsia" w:ascii="仿宋_GB2312" w:hAnsi="仿宋_GB2312" w:cs="仿宋_GB2312"/>
          <w:szCs w:val="32"/>
        </w:rPr>
        <w:t>重点在平桂大理石矿区、钟山珊瑚钨矿重点开采区开展绿色矿山建设重点工程，总面积为147.24平方千米，内容为绿色矿山建设。</w:t>
      </w:r>
    </w:p>
    <w:p>
      <w:pPr>
        <w:pStyle w:val="5"/>
        <w:numPr>
          <w:ilvl w:val="0"/>
          <w:numId w:val="5"/>
        </w:numPr>
        <w:spacing w:before="156" w:after="0" w:afterLines="0"/>
        <w:ind w:left="0" w:firstLine="640"/>
        <w:rPr>
          <w:lang w:val="zh-CN"/>
        </w:rPr>
      </w:pPr>
      <w:r>
        <w:rPr>
          <w:rFonts w:hint="eastAsia"/>
          <w:lang w:val="zh-CN"/>
        </w:rPr>
        <w:t>地质灾害防治</w:t>
      </w:r>
    </w:p>
    <w:p>
      <w:pPr>
        <w:ind w:firstLine="602"/>
        <w:rPr>
          <w:rFonts w:ascii="仿宋_GB2312" w:hAnsi="仿宋_GB2312" w:cs="仿宋_GB2312"/>
          <w:sz w:val="30"/>
          <w:szCs w:val="30"/>
          <w:lang w:val="zh-CN"/>
        </w:rPr>
      </w:pPr>
      <w:r>
        <w:rPr>
          <w:rFonts w:hint="eastAsia" w:ascii="仿宋_GB2312" w:hAnsi="仿宋_GB2312" w:cs="仿宋_GB2312"/>
          <w:b/>
          <w:bCs/>
          <w:sz w:val="30"/>
          <w:szCs w:val="30"/>
          <w:lang w:val="zh-CN"/>
        </w:rPr>
        <w:t>系统防治矿山地质灾害隐患。</w:t>
      </w:r>
      <w:r>
        <w:rPr>
          <w:rFonts w:hint="eastAsia" w:ascii="仿宋_GB2312" w:hAnsi="仿宋_GB2312" w:cs="仿宋_GB2312"/>
          <w:sz w:val="30"/>
          <w:szCs w:val="30"/>
          <w:lang w:val="zh-CN"/>
        </w:rPr>
        <w:t>制定切实可行的地质灾害治理计划，按轻重缓急，分期分批实施应急排险、勘查治理与搬迁避让工</w:t>
      </w:r>
      <w:r>
        <w:rPr>
          <w:rFonts w:hint="eastAsia" w:ascii="仿宋_GB2312" w:hAnsi="仿宋_GB2312" w:cs="仿宋_GB2312"/>
          <w:sz w:val="30"/>
          <w:szCs w:val="30"/>
        </w:rPr>
        <w:t>程</w:t>
      </w:r>
      <w:r>
        <w:rPr>
          <w:rFonts w:hint="eastAsia" w:ascii="仿宋_GB2312" w:hAnsi="仿宋_GB2312" w:cs="仿宋_GB2312"/>
          <w:sz w:val="30"/>
          <w:szCs w:val="30"/>
          <w:lang w:val="zh-CN"/>
        </w:rPr>
        <w:t>。对位于张公岭金银铅锌矿、民田锰矿等矿山修复治理范围、碧水岩自治区级风景名胜区和黄姚自治区级风景名胜区等重要生态节点的地质灾害隐患点，做好地质灾害治理先导工程，保障后续整治修复工作顺利开展。</w:t>
      </w:r>
    </w:p>
    <w:p>
      <w:pPr>
        <w:ind w:firstLine="720"/>
        <w:rPr>
          <w:rFonts w:eastAsia="黑体"/>
          <w:sz w:val="36"/>
          <w:szCs w:val="36"/>
          <w:lang w:val="zh-CN"/>
        </w:rPr>
      </w:pPr>
      <w:r>
        <w:rPr>
          <w:rFonts w:eastAsia="黑体"/>
          <w:sz w:val="36"/>
          <w:szCs w:val="36"/>
          <w:lang w:val="zh-CN"/>
        </w:rPr>
        <w:br w:type="page"/>
      </w:r>
    </w:p>
    <w:bookmarkEnd w:id="567"/>
    <w:bookmarkEnd w:id="568"/>
    <w:bookmarkEnd w:id="569"/>
    <w:bookmarkEnd w:id="570"/>
    <w:bookmarkEnd w:id="571"/>
    <w:bookmarkEnd w:id="572"/>
    <w:bookmarkEnd w:id="573"/>
    <w:bookmarkEnd w:id="574"/>
    <w:p>
      <w:pPr>
        <w:pStyle w:val="3"/>
        <w:keepNext w:val="0"/>
        <w:widowControl/>
        <w:numPr>
          <w:ilvl w:val="0"/>
          <w:numId w:val="3"/>
        </w:numPr>
        <w:autoSpaceDE w:val="0"/>
        <w:autoSpaceDN w:val="0"/>
        <w:rPr>
          <w:rFonts w:ascii="方正小标宋_GBK" w:hAnsi="方正小标宋_GBK" w:cs="方正小标宋_GBK"/>
          <w:szCs w:val="36"/>
          <w:lang w:val="zh-CN"/>
        </w:rPr>
      </w:pPr>
      <w:bookmarkStart w:id="575" w:name="_Toc213018291"/>
      <w:bookmarkStart w:id="576" w:name="_Toc31237"/>
      <w:bookmarkStart w:id="577" w:name="_Toc22657"/>
      <w:bookmarkStart w:id="578" w:name="_Toc6205"/>
      <w:bookmarkStart w:id="579" w:name="_Toc583"/>
      <w:bookmarkStart w:id="580" w:name="_Toc30414"/>
      <w:bookmarkStart w:id="581" w:name="_Toc10825"/>
      <w:bookmarkStart w:id="582" w:name="_Toc8559"/>
      <w:bookmarkStart w:id="583" w:name="_Toc30420"/>
      <w:bookmarkStart w:id="584" w:name="_Toc6042"/>
      <w:r>
        <w:rPr>
          <w:rFonts w:hint="eastAsia" w:ascii="方正小标宋_GBK" w:hAnsi="方正小标宋_GBK" w:cs="方正小标宋_GBK"/>
          <w:szCs w:val="36"/>
          <w:lang w:val="zh-CN"/>
        </w:rPr>
        <w:t>区域协同</w:t>
      </w:r>
      <w:bookmarkEnd w:id="575"/>
    </w:p>
    <w:p>
      <w:pPr>
        <w:pStyle w:val="4"/>
        <w:numPr>
          <w:ilvl w:val="0"/>
          <w:numId w:val="16"/>
        </w:numPr>
        <w:tabs>
          <w:tab w:val="left" w:pos="360"/>
        </w:tabs>
        <w:spacing w:before="156" w:beforeLines="50" w:line="460" w:lineRule="exact"/>
        <w:ind w:left="0" w:firstLine="0"/>
        <w:rPr>
          <w:rFonts w:ascii="Times New Roman" w:hAnsi="Times New Roman"/>
        </w:rPr>
      </w:pPr>
      <w:bookmarkStart w:id="585" w:name="_Toc213018292"/>
      <w:r>
        <w:rPr>
          <w:rFonts w:hint="eastAsia" w:ascii="Times New Roman" w:hAnsi="Times New Roman"/>
        </w:rPr>
        <w:t>东融空间协同</w:t>
      </w:r>
      <w:bookmarkEnd w:id="585"/>
    </w:p>
    <w:p>
      <w:pPr>
        <w:pStyle w:val="5"/>
        <w:numPr>
          <w:ilvl w:val="0"/>
          <w:numId w:val="5"/>
        </w:numPr>
        <w:spacing w:before="156" w:after="0" w:afterLines="0"/>
        <w:ind w:left="0" w:firstLine="640"/>
        <w:rPr>
          <w:bCs w:val="0"/>
          <w:lang w:val="zh-CN"/>
        </w:rPr>
      </w:pPr>
      <w:r>
        <w:rPr>
          <w:rFonts w:hint="eastAsia"/>
          <w:lang w:val="zh-CN"/>
        </w:rPr>
        <w:t>大湾区产业外溢对接</w:t>
      </w:r>
    </w:p>
    <w:p>
      <w:pPr>
        <w:pStyle w:val="2"/>
        <w:ind w:firstLine="640"/>
        <w:rPr>
          <w:rFonts w:ascii="仿宋_GB2312" w:hAnsi="仿宋_GB2312" w:cs="仿宋_GB2312"/>
        </w:rPr>
      </w:pPr>
      <w:r>
        <w:rPr>
          <w:rFonts w:hint="eastAsia" w:ascii="仿宋_GB2312" w:hAnsi="仿宋_GB2312" w:cs="仿宋_GB2312"/>
        </w:rPr>
        <w:t>精准对接广深港澳科技创新走廊、广州都市圈、深圳都市圈、珠江口西岸核心城市的产业外溢需求，加快产业转型升级，建设好广西东融先行示范区（贺州）的示范性窗口，整合工业园区平台资源，推进科研、孵化、前台在粤港澳大湾区，生产、转化、后台在贺州市的“双飞地”经济模式，探索跨区域产业园区合作方式。</w:t>
      </w:r>
    </w:p>
    <w:p>
      <w:pPr>
        <w:pStyle w:val="5"/>
        <w:numPr>
          <w:ilvl w:val="0"/>
          <w:numId w:val="5"/>
        </w:numPr>
        <w:spacing w:before="156" w:after="0" w:afterLines="0"/>
        <w:ind w:left="0" w:firstLine="640"/>
        <w:rPr>
          <w:bCs w:val="0"/>
          <w:lang w:val="zh-CN"/>
        </w:rPr>
      </w:pPr>
      <w:r>
        <w:rPr>
          <w:rFonts w:hint="eastAsia"/>
          <w:lang w:val="zh-CN"/>
        </w:rPr>
        <w:t>跨区域经济建设</w:t>
      </w:r>
    </w:p>
    <w:p>
      <w:pPr>
        <w:pStyle w:val="2"/>
        <w:ind w:firstLine="640"/>
        <w:rPr>
          <w:rFonts w:ascii="仿宋_GB2312" w:hAnsi="仿宋_GB2312" w:cs="仿宋_GB2312"/>
        </w:rPr>
      </w:pPr>
      <w:r>
        <w:rPr>
          <w:rFonts w:hint="eastAsia" w:ascii="仿宋_GB2312" w:hAnsi="仿宋_GB2312" w:cs="仿宋_GB2312"/>
        </w:rPr>
        <w:t>建立健全推进机制，共同打造空中旅游、桂江贺江沿线旅游、陆路精品旅游线路，开拓国内国际市场，携手建设面向世界的康养旅游休闲度假胜地。依托珠江—西江经济带和粤桂黔滇高铁经济带、平陆运河经济带建设，加强与贵州、湖南、湖北等中南地区的文化旅游合作，巩固“华南五市”联盟，推动共建高铁大旅游圈。</w:t>
      </w:r>
    </w:p>
    <w:p>
      <w:pPr>
        <w:pStyle w:val="5"/>
        <w:numPr>
          <w:ilvl w:val="0"/>
          <w:numId w:val="5"/>
        </w:numPr>
        <w:spacing w:before="156" w:after="0" w:afterLines="0"/>
        <w:ind w:left="0" w:firstLine="640"/>
        <w:rPr>
          <w:bCs w:val="0"/>
          <w:lang w:val="zh-CN"/>
        </w:rPr>
      </w:pPr>
      <w:r>
        <w:rPr>
          <w:rFonts w:hint="eastAsia"/>
          <w:lang w:val="zh-CN"/>
        </w:rPr>
        <w:t>城市综合服务能力</w:t>
      </w:r>
    </w:p>
    <w:p>
      <w:pPr>
        <w:pStyle w:val="2"/>
        <w:ind w:firstLine="640"/>
        <w:rPr>
          <w:rFonts w:ascii="仿宋_GB2312" w:hAnsi="仿宋_GB2312" w:cs="仿宋_GB2312"/>
        </w:rPr>
      </w:pPr>
      <w:r>
        <w:rPr>
          <w:rFonts w:hint="eastAsia" w:ascii="仿宋_GB2312" w:hAnsi="仿宋_GB2312" w:cs="仿宋_GB2312"/>
        </w:rPr>
        <w:t>落实高质量发展要求，补强城市公共服务与空间品质短板，推动城市“软”“硬”实力的全面提升，支撑广西东融先行示范区的建设。生产及生活公共服务方面，重点解决产业金融服务、现代物流体系、住房保障体系、基础教育和医疗设施等短板；城市空间品质方面，重点提升整体城市形象塑造、公共空间营造，发挥潇贺历史文化魅力。</w:t>
      </w:r>
    </w:p>
    <w:p>
      <w:pPr>
        <w:pStyle w:val="4"/>
        <w:numPr>
          <w:ilvl w:val="0"/>
          <w:numId w:val="16"/>
        </w:numPr>
        <w:tabs>
          <w:tab w:val="left" w:pos="360"/>
        </w:tabs>
        <w:spacing w:before="156" w:beforeLines="50" w:line="460" w:lineRule="exact"/>
        <w:ind w:left="0" w:firstLine="0"/>
        <w:rPr>
          <w:rFonts w:ascii="Times New Roman" w:hAnsi="Times New Roman"/>
        </w:rPr>
      </w:pPr>
      <w:bookmarkStart w:id="586" w:name="_Toc213018293"/>
      <w:r>
        <w:rPr>
          <w:rFonts w:hint="eastAsia" w:ascii="Times New Roman" w:hAnsi="Times New Roman"/>
        </w:rPr>
        <w:t>产业协作互补</w:t>
      </w:r>
      <w:bookmarkEnd w:id="586"/>
    </w:p>
    <w:p>
      <w:pPr>
        <w:pStyle w:val="5"/>
        <w:numPr>
          <w:ilvl w:val="0"/>
          <w:numId w:val="5"/>
        </w:numPr>
        <w:spacing w:before="156" w:after="0" w:afterLines="0"/>
        <w:ind w:left="0" w:firstLine="640"/>
        <w:rPr>
          <w:bCs w:val="0"/>
          <w:lang w:val="zh-CN"/>
        </w:rPr>
      </w:pPr>
      <w:r>
        <w:rPr>
          <w:rFonts w:hint="eastAsia"/>
          <w:lang w:val="zh-CN"/>
        </w:rPr>
        <w:t>周边城市产业联动</w:t>
      </w:r>
    </w:p>
    <w:p>
      <w:pPr>
        <w:ind w:firstLine="640"/>
        <w:jc w:val="left"/>
        <w:rPr>
          <w:rFonts w:ascii="仿宋_GB2312" w:hAnsi="仿宋_GB2312" w:cs="仿宋_GB2312"/>
        </w:rPr>
      </w:pPr>
      <w:r>
        <w:rPr>
          <w:rFonts w:hint="eastAsia" w:ascii="仿宋_GB2312" w:hAnsi="仿宋_GB2312" w:cs="仿宋_GB2312"/>
        </w:rPr>
        <w:t>贺州市作为广西对接粤港澳大湾区的先行示范区，处在珠江西江经济带外延区，在区域中为粤桂黔滇高铁经济带的重要支点，积极融合北部湾城市群及大西南经济圈，联系西部陆海新通道。依托贵广高铁、柳韶铁路等带来的发展机遇，与周边城市合作构建旅游产业及旅游服务设施一体化发展，延伸铝电子产业链并应用于汽车零部件制造。</w:t>
      </w:r>
    </w:p>
    <w:p>
      <w:pPr>
        <w:pStyle w:val="5"/>
        <w:numPr>
          <w:ilvl w:val="0"/>
          <w:numId w:val="5"/>
        </w:numPr>
        <w:spacing w:before="156" w:after="0" w:afterLines="0"/>
        <w:ind w:left="0" w:firstLine="640"/>
        <w:rPr>
          <w:bCs w:val="0"/>
          <w:lang w:val="zh-CN"/>
        </w:rPr>
      </w:pPr>
      <w:r>
        <w:rPr>
          <w:rFonts w:hint="eastAsia"/>
          <w:lang w:val="zh-CN"/>
        </w:rPr>
        <w:t>区域产业发展</w:t>
      </w:r>
    </w:p>
    <w:p>
      <w:pPr>
        <w:ind w:firstLine="643" w:firstLineChars="0"/>
        <w:rPr>
          <w:rFonts w:ascii="仿宋_GB2312" w:hAnsi="仿宋_GB2312" w:cs="仿宋_GB2312"/>
          <w:b/>
          <w:bCs/>
        </w:rPr>
      </w:pPr>
      <w:r>
        <w:rPr>
          <w:rFonts w:hint="eastAsia" w:ascii="仿宋_GB2312" w:hAnsi="仿宋_GB2312"/>
        </w:rPr>
        <w:t>做优传统产业，做强主导产业，加快冶金循环企业技术改造，将精品碳酸钙产业资源优势与大湾区制造业、市场、科技等优势结合，融入大湾区高端装备制造产业链。提质扩容“湾区”菜篮子、果篮子基地，培育一批“圳品”、香港优质“正”印认证产品，打造面向大湾区绿色农副产品集散基地。推进重点物流园区建设，发展冷链、电商、大件运输等专业化物流，构筑融入大湾区的现代物流综合运输体系</w:t>
      </w:r>
      <w:r>
        <w:rPr>
          <w:rFonts w:hint="eastAsia" w:ascii="仿宋_GB2312" w:hAnsi="仿宋_GB2312" w:cs="仿宋_GB2312"/>
        </w:rPr>
        <w:t>。</w:t>
      </w:r>
      <w:r>
        <w:rPr>
          <w:rFonts w:hint="eastAsia" w:ascii="仿宋_GB2312" w:hAnsi="仿宋_GB2312"/>
        </w:rPr>
        <w:t>深化农商文旅融合，丰富健康养生、温泉度假、古镇休闲、山水观光等产品供给，扩大“湾区”游客群。</w:t>
      </w:r>
    </w:p>
    <w:p>
      <w:pPr>
        <w:pStyle w:val="4"/>
        <w:numPr>
          <w:ilvl w:val="0"/>
          <w:numId w:val="16"/>
        </w:numPr>
        <w:tabs>
          <w:tab w:val="left" w:pos="360"/>
        </w:tabs>
        <w:spacing w:before="156" w:beforeLines="50" w:line="460" w:lineRule="exact"/>
        <w:ind w:left="0" w:firstLine="0"/>
        <w:rPr>
          <w:rFonts w:ascii="Times New Roman" w:hAnsi="Times New Roman"/>
        </w:rPr>
      </w:pPr>
      <w:bookmarkStart w:id="587" w:name="_Toc213018294"/>
      <w:r>
        <w:rPr>
          <w:rFonts w:hint="eastAsia" w:ascii="Times New Roman" w:hAnsi="Times New Roman"/>
        </w:rPr>
        <w:t>交通设施互联互通</w:t>
      </w:r>
      <w:bookmarkEnd w:id="587"/>
    </w:p>
    <w:p>
      <w:pPr>
        <w:pStyle w:val="5"/>
        <w:numPr>
          <w:ilvl w:val="0"/>
          <w:numId w:val="5"/>
        </w:numPr>
        <w:spacing w:before="156" w:after="0" w:afterLines="0"/>
        <w:ind w:left="0" w:firstLine="640"/>
        <w:rPr>
          <w:bCs w:val="0"/>
          <w:lang w:val="zh-CN"/>
        </w:rPr>
      </w:pPr>
      <w:r>
        <w:rPr>
          <w:rFonts w:hint="eastAsia"/>
          <w:lang w:val="zh-CN"/>
        </w:rPr>
        <w:t>交通体系建设</w:t>
      </w:r>
    </w:p>
    <w:p>
      <w:pPr>
        <w:ind w:firstLine="640"/>
        <w:jc w:val="left"/>
        <w:rPr>
          <w:rFonts w:ascii="仿宋_GB2312" w:hAnsi="仿宋_GB2312" w:cs="仿宋_GB2312"/>
        </w:rPr>
      </w:pPr>
      <w:r>
        <w:rPr>
          <w:rFonts w:hint="eastAsia" w:ascii="仿宋_GB2312" w:hAnsi="仿宋_GB2312"/>
        </w:rPr>
        <w:t>主动融入“一带一路”，积极参与西部陆海新通道建设，</w:t>
      </w:r>
      <w:r>
        <w:rPr>
          <w:rFonts w:hint="eastAsia" w:ascii="仿宋_GB2312" w:hAnsi="仿宋_GB2312" w:cs="仿宋_GB2312"/>
        </w:rPr>
        <w:t>打造面向粤港澳大湾区的重要交通节点城市，</w:t>
      </w:r>
      <w:r>
        <w:rPr>
          <w:rFonts w:hint="eastAsia" w:ascii="仿宋_GB2312" w:hAnsi="仿宋_GB2312"/>
        </w:rPr>
        <w:t>推进益湛铁路永州至玉林段扩能改造，推动桂贺肇铁路、贺梧城际铁路、柳贺韶铁路等项目前期工作，实现能力紧张通道升级扩容；实现与大湾区核心城市</w:t>
      </w:r>
      <w:r>
        <w:rPr>
          <w:rFonts w:hint="eastAsia" w:ascii="仿宋_GB2312" w:hAnsi="仿宋_GB2312" w:cs="仿宋_GB2312"/>
        </w:rPr>
        <w:t>的快速通达；持续推进贺江、桂江扩能，积极探索推进湘桂运河建设，发挥贺州市水陆联运的枢纽作用，提升贺州市联通珠三角、中南、西南等地区的桂粤湘区域性交通节点作用。</w:t>
      </w:r>
    </w:p>
    <w:p>
      <w:pPr>
        <w:pStyle w:val="4"/>
        <w:numPr>
          <w:ilvl w:val="0"/>
          <w:numId w:val="16"/>
        </w:numPr>
        <w:tabs>
          <w:tab w:val="left" w:pos="360"/>
        </w:tabs>
        <w:spacing w:before="156" w:beforeLines="50" w:line="460" w:lineRule="exact"/>
        <w:ind w:left="0" w:firstLine="0"/>
        <w:rPr>
          <w:lang w:val="zh-CN"/>
        </w:rPr>
      </w:pPr>
      <w:bookmarkStart w:id="588" w:name="_Toc213018295"/>
      <w:r>
        <w:rPr>
          <w:rFonts w:hint="eastAsia" w:ascii="Times New Roman" w:hAnsi="Times New Roman"/>
        </w:rPr>
        <w:t>生态共管共治</w:t>
      </w:r>
      <w:bookmarkEnd w:id="588"/>
    </w:p>
    <w:p>
      <w:pPr>
        <w:pStyle w:val="5"/>
        <w:numPr>
          <w:ilvl w:val="0"/>
          <w:numId w:val="5"/>
        </w:numPr>
        <w:spacing w:before="156" w:after="0" w:afterLines="0"/>
        <w:ind w:left="0" w:firstLine="640"/>
        <w:rPr>
          <w:bCs w:val="0"/>
          <w:lang w:val="zh-CN"/>
        </w:rPr>
      </w:pPr>
      <w:r>
        <w:rPr>
          <w:rFonts w:hint="eastAsia"/>
          <w:lang w:val="zh-CN"/>
        </w:rPr>
        <w:t>省际生态共管共治</w:t>
      </w:r>
    </w:p>
    <w:p>
      <w:pPr>
        <w:pStyle w:val="2"/>
        <w:ind w:firstLine="640"/>
        <w:rPr>
          <w:rFonts w:ascii="楷体_GB2312" w:hAnsi="楷体_GB2312" w:eastAsia="楷体_GB2312" w:cs="楷体_GB2312"/>
        </w:rPr>
      </w:pPr>
      <w:r>
        <w:rPr>
          <w:rFonts w:hint="eastAsia" w:ascii="仿宋_GB2312" w:hAnsi="仿宋_GB2312" w:cs="仿宋_GB2312"/>
        </w:rPr>
        <w:t>加强南岭山地水源涵养、大瑶山生物多样性保护重要区等跨区域保护，加强退化生态系统恢复和重建，共筑南岭生态安全屏障。推动建立珠江—西江水资源保护联合行动计划和流域生态环境保护联防联控机制，推动建立土地生态保护补偿、生态公益林保护补偿等流域上下游生态补偿方式，构建生态产品价值实现机制。</w:t>
      </w:r>
    </w:p>
    <w:p>
      <w:pPr>
        <w:pStyle w:val="2"/>
        <w:ind w:firstLine="640"/>
        <w:rPr>
          <w:rFonts w:ascii="楷体_GB2312" w:hAnsi="楷体_GB2312" w:eastAsia="楷体_GB2312" w:cs="楷体_GB2312"/>
        </w:rPr>
      </w:pPr>
      <w:r>
        <w:rPr>
          <w:rFonts w:hint="eastAsia" w:ascii="楷体_GB2312" w:hAnsi="楷体_GB2312" w:eastAsia="楷体_GB2312" w:cs="楷体_GB2312"/>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r>
        <w:fldChar w:fldCharType="begin"/>
      </w:r>
      <w:r>
        <w:instrText xml:space="preserve"> HYPERLINK \l "_Toc12843" </w:instrText>
      </w:r>
      <w:r>
        <w:fldChar w:fldCharType="separate"/>
      </w:r>
      <w:bookmarkStart w:id="589" w:name="_Toc1451_WPSOffice_Level1"/>
      <w:bookmarkStart w:id="590" w:name="_Toc213018296"/>
      <w:r>
        <w:rPr>
          <w:rFonts w:hint="eastAsia" w:ascii="方正小标宋_GBK" w:hAnsi="方正小标宋_GBK" w:cs="方正小标宋_GBK"/>
          <w:szCs w:val="36"/>
          <w:lang w:val="zh-CN"/>
        </w:rPr>
        <w:t>实施保障</w:t>
      </w:r>
      <w:bookmarkEnd w:id="589"/>
      <w:bookmarkEnd w:id="590"/>
      <w:r>
        <w:rPr>
          <w:rFonts w:hint="eastAsia" w:ascii="方正小标宋_GBK" w:hAnsi="方正小标宋_GBK" w:cs="方正小标宋_GBK"/>
          <w:szCs w:val="36"/>
          <w:lang w:val="zh-CN"/>
        </w:rPr>
        <w:fldChar w:fldCharType="end"/>
      </w:r>
      <w:bookmarkEnd w:id="576"/>
      <w:bookmarkEnd w:id="577"/>
      <w:bookmarkEnd w:id="578"/>
      <w:bookmarkEnd w:id="579"/>
      <w:bookmarkEnd w:id="580"/>
      <w:bookmarkEnd w:id="581"/>
      <w:bookmarkEnd w:id="582"/>
      <w:bookmarkEnd w:id="583"/>
      <w:bookmarkEnd w:id="584"/>
    </w:p>
    <w:p>
      <w:pPr>
        <w:pStyle w:val="4"/>
        <w:numPr>
          <w:ilvl w:val="0"/>
          <w:numId w:val="17"/>
        </w:numPr>
        <w:tabs>
          <w:tab w:val="left" w:pos="360"/>
        </w:tabs>
        <w:spacing w:before="156" w:beforeLines="50" w:line="460" w:lineRule="exact"/>
        <w:rPr>
          <w:rFonts w:ascii="Times New Roman" w:hAnsi="Times New Roman"/>
        </w:rPr>
      </w:pPr>
      <w:bookmarkStart w:id="591" w:name="_Toc10211"/>
      <w:bookmarkStart w:id="592" w:name="_Toc5832"/>
      <w:bookmarkStart w:id="593" w:name="_Toc213018297"/>
      <w:bookmarkStart w:id="594" w:name="_Toc28311"/>
      <w:bookmarkStart w:id="595" w:name="_Toc31136"/>
      <w:bookmarkStart w:id="596" w:name="_Toc23613"/>
      <w:bookmarkStart w:id="597" w:name="_Toc8051"/>
      <w:bookmarkStart w:id="598" w:name="_Toc22068"/>
      <w:bookmarkStart w:id="599" w:name="_Toc30433_WPSOffice_Level2"/>
      <w:bookmarkStart w:id="600" w:name="_Toc5584"/>
      <w:bookmarkStart w:id="601" w:name="_Toc3575"/>
      <w:bookmarkStart w:id="602" w:name="_Toc31684"/>
      <w:r>
        <w:rPr>
          <w:rFonts w:hint="eastAsia" w:ascii="Times New Roman" w:hAnsi="Times New Roman"/>
        </w:rPr>
        <w:t>加强党的领导</w:t>
      </w:r>
      <w:bookmarkEnd w:id="591"/>
      <w:bookmarkEnd w:id="592"/>
      <w:bookmarkEnd w:id="593"/>
      <w:bookmarkEnd w:id="594"/>
      <w:bookmarkEnd w:id="595"/>
      <w:bookmarkEnd w:id="596"/>
      <w:bookmarkEnd w:id="597"/>
      <w:bookmarkEnd w:id="598"/>
      <w:bookmarkEnd w:id="599"/>
      <w:bookmarkEnd w:id="600"/>
      <w:bookmarkEnd w:id="601"/>
      <w:bookmarkEnd w:id="602"/>
    </w:p>
    <w:p>
      <w:pPr>
        <w:pStyle w:val="5"/>
        <w:numPr>
          <w:ilvl w:val="0"/>
          <w:numId w:val="5"/>
        </w:numPr>
        <w:spacing w:before="156" w:after="0" w:afterLines="0"/>
        <w:ind w:left="0" w:firstLine="640"/>
        <w:rPr>
          <w:lang w:val="zh-TW"/>
        </w:rPr>
      </w:pPr>
      <w:bookmarkStart w:id="603" w:name="_Toc17325"/>
      <w:bookmarkStart w:id="604" w:name="_Toc2500_WPSOffice_Level2"/>
      <w:bookmarkStart w:id="605" w:name="_Toc3580"/>
      <w:bookmarkStart w:id="606" w:name="_Toc5229"/>
      <w:bookmarkStart w:id="607" w:name="_Toc824"/>
      <w:bookmarkStart w:id="608" w:name="_Toc19803"/>
      <w:bookmarkStart w:id="609" w:name="_Toc11959"/>
      <w:bookmarkStart w:id="610" w:name="_Toc9884"/>
      <w:bookmarkStart w:id="611" w:name="_Toc25580"/>
      <w:bookmarkStart w:id="612" w:name="_Toc6676"/>
      <w:bookmarkStart w:id="613" w:name="_Toc23745"/>
      <w:r>
        <w:rPr>
          <w:rFonts w:hint="eastAsia"/>
          <w:lang w:val="zh-TW"/>
        </w:rPr>
        <w:t>加强党的领导</w:t>
      </w:r>
    </w:p>
    <w:p>
      <w:pPr>
        <w:pStyle w:val="2"/>
        <w:ind w:firstLine="643"/>
        <w:rPr>
          <w:rFonts w:ascii="仿宋" w:hAnsi="仿宋" w:cs="仿宋"/>
          <w:lang w:val="zh-CN" w:bidi="ar"/>
        </w:rPr>
      </w:pPr>
      <w:r>
        <w:rPr>
          <w:b/>
          <w:bCs/>
          <w:kern w:val="0"/>
          <w:szCs w:val="32"/>
          <w:shd w:val="clear" w:color="auto" w:fill="FFFFFF"/>
          <w:lang w:val="zh-CN" w:bidi="ar"/>
        </w:rPr>
        <w:t>深入贯彻习近平新时代中国特色社会主义思想。</w:t>
      </w:r>
      <w:r>
        <w:rPr>
          <w:rFonts w:hint="eastAsia"/>
          <w:lang w:val="zh-CN" w:bidi="ar"/>
        </w:rPr>
        <w:t>坚决把党的全面领导贯彻到规划编制实施全过程各领域各环节，充分发挥党总揽全局、协调各方的领导核心作用。加强党委领导国土空间规划工作的制度化建设，完善党委研究国土空间规划的工作机制。</w:t>
      </w:r>
    </w:p>
    <w:p>
      <w:pPr>
        <w:pStyle w:val="5"/>
        <w:numPr>
          <w:ilvl w:val="0"/>
          <w:numId w:val="5"/>
        </w:numPr>
        <w:spacing w:before="156" w:after="0" w:afterLines="0"/>
        <w:ind w:left="0" w:firstLine="640"/>
        <w:rPr>
          <w:lang w:val="zh-TW"/>
        </w:rPr>
      </w:pPr>
      <w:r>
        <w:rPr>
          <w:rFonts w:hint="eastAsia"/>
          <w:lang w:val="zh-TW"/>
        </w:rPr>
        <w:t>落实主体责任</w:t>
      </w:r>
    </w:p>
    <w:p>
      <w:pPr>
        <w:ind w:firstLine="643"/>
        <w:rPr>
          <w:kern w:val="0"/>
          <w:szCs w:val="32"/>
          <w:shd w:val="clear" w:color="auto" w:fill="FFFFFF"/>
          <w:lang w:val="zh-CN" w:bidi="ar"/>
        </w:rPr>
      </w:pPr>
      <w:r>
        <w:rPr>
          <w:b/>
          <w:bCs/>
          <w:kern w:val="0"/>
          <w:szCs w:val="32"/>
          <w:shd w:val="clear" w:color="auto" w:fill="FFFFFF"/>
          <w:lang w:val="zh-CN" w:bidi="ar"/>
        </w:rPr>
        <w:t>落实地方各级党委和政府</w:t>
      </w:r>
      <w:r>
        <w:rPr>
          <w:b/>
          <w:bCs/>
          <w:kern w:val="0"/>
          <w:szCs w:val="32"/>
          <w:shd w:val="clear" w:color="auto" w:fill="FFFFFF"/>
          <w:lang w:bidi="ar"/>
        </w:rPr>
        <w:t>为</w:t>
      </w:r>
      <w:r>
        <w:rPr>
          <w:b/>
          <w:bCs/>
          <w:kern w:val="0"/>
          <w:szCs w:val="32"/>
          <w:shd w:val="clear" w:color="auto" w:fill="FFFFFF"/>
          <w:lang w:val="zh-CN" w:bidi="ar"/>
        </w:rPr>
        <w:t>国土空间规划管理责任主体。</w:t>
      </w:r>
      <w:r>
        <w:rPr>
          <w:kern w:val="0"/>
          <w:szCs w:val="32"/>
          <w:shd w:val="clear" w:color="auto" w:fill="FFFFFF"/>
          <w:lang w:val="zh-CN" w:bidi="ar"/>
        </w:rPr>
        <w:t>坚持</w:t>
      </w:r>
      <w:r>
        <w:rPr>
          <w:rFonts w:hint="eastAsia"/>
          <w:kern w:val="0"/>
          <w:szCs w:val="32"/>
          <w:shd w:val="clear" w:color="auto" w:fill="FFFFFF"/>
          <w:lang w:val="zh-CN" w:bidi="ar"/>
        </w:rPr>
        <w:t>“</w:t>
      </w:r>
      <w:r>
        <w:rPr>
          <w:kern w:val="0"/>
          <w:szCs w:val="32"/>
          <w:shd w:val="clear" w:color="auto" w:fill="FFFFFF"/>
          <w:lang w:val="zh-CN" w:bidi="ar"/>
        </w:rPr>
        <w:t>多规合一</w:t>
      </w:r>
      <w:r>
        <w:rPr>
          <w:rFonts w:hint="eastAsia"/>
          <w:kern w:val="0"/>
          <w:szCs w:val="32"/>
          <w:shd w:val="clear" w:color="auto" w:fill="FFFFFF"/>
          <w:lang w:val="zh-CN" w:bidi="ar"/>
        </w:rPr>
        <w:t>”</w:t>
      </w:r>
      <w:r>
        <w:rPr>
          <w:kern w:val="0"/>
          <w:szCs w:val="32"/>
          <w:shd w:val="clear" w:color="auto" w:fill="FFFFFF"/>
          <w:lang w:val="zh-CN" w:bidi="ar"/>
        </w:rPr>
        <w:t>，不在国土空间规划体系之外另设其他空间规划。强化规划严肃性</w:t>
      </w:r>
      <w:r>
        <w:rPr>
          <w:rFonts w:hint="eastAsia"/>
          <w:kern w:val="0"/>
          <w:szCs w:val="32"/>
          <w:shd w:val="clear" w:color="auto" w:fill="FFFFFF"/>
          <w:lang w:bidi="ar"/>
        </w:rPr>
        <w:t>权威性</w:t>
      </w:r>
      <w:r>
        <w:rPr>
          <w:kern w:val="0"/>
          <w:szCs w:val="32"/>
          <w:shd w:val="clear" w:color="auto" w:fill="FFFFFF"/>
          <w:lang w:val="zh-CN" w:bidi="ar"/>
        </w:rPr>
        <w:t>，规划一经批准，任何部门和个人不得随意修改、违规变更。加强领导干部的国土空间规划管理培训，防止换一届领导改一次规划。</w:t>
      </w:r>
    </w:p>
    <w:p>
      <w:pPr>
        <w:pStyle w:val="4"/>
        <w:numPr>
          <w:ilvl w:val="0"/>
          <w:numId w:val="17"/>
        </w:numPr>
        <w:tabs>
          <w:tab w:val="left" w:pos="360"/>
        </w:tabs>
        <w:spacing w:before="156" w:beforeLines="50" w:line="460" w:lineRule="exact"/>
        <w:ind w:left="0" w:firstLine="0"/>
        <w:rPr>
          <w:rFonts w:ascii="Times New Roman" w:hAnsi="Times New Roman"/>
        </w:rPr>
      </w:pPr>
      <w:bookmarkStart w:id="614" w:name="_Toc213018298"/>
      <w:r>
        <w:rPr>
          <w:rFonts w:hint="eastAsia" w:ascii="Times New Roman" w:hAnsi="Times New Roman"/>
        </w:rPr>
        <w:t>加强规划传导</w:t>
      </w:r>
      <w:bookmarkEnd w:id="603"/>
      <w:bookmarkEnd w:id="604"/>
      <w:bookmarkEnd w:id="605"/>
      <w:bookmarkEnd w:id="606"/>
      <w:bookmarkEnd w:id="607"/>
      <w:bookmarkEnd w:id="608"/>
      <w:bookmarkEnd w:id="609"/>
      <w:bookmarkEnd w:id="610"/>
      <w:bookmarkEnd w:id="611"/>
      <w:bookmarkEnd w:id="612"/>
      <w:bookmarkEnd w:id="613"/>
      <w:bookmarkEnd w:id="614"/>
    </w:p>
    <w:p>
      <w:pPr>
        <w:pStyle w:val="5"/>
        <w:numPr>
          <w:ilvl w:val="0"/>
          <w:numId w:val="5"/>
        </w:numPr>
        <w:spacing w:before="156" w:after="0" w:afterLines="0"/>
        <w:ind w:left="0" w:firstLine="640"/>
        <w:rPr>
          <w:lang w:val="zh-CN"/>
        </w:rPr>
      </w:pPr>
      <w:r>
        <w:rPr>
          <w:rFonts w:hint="eastAsia"/>
          <w:lang w:val="zh-CN"/>
        </w:rPr>
        <w:t>各县（区）规划指引</w:t>
      </w:r>
    </w:p>
    <w:p>
      <w:pPr>
        <w:ind w:firstLine="643"/>
        <w:rPr>
          <w:rFonts w:ascii="仿宋_GB2312" w:hAnsi="仿宋_GB2312" w:cs="仿宋_GB2312"/>
          <w:b/>
          <w:bCs/>
          <w:u w:val="single"/>
        </w:rPr>
      </w:pPr>
      <w:r>
        <w:rPr>
          <w:rFonts w:hint="eastAsia" w:ascii="仿宋_GB2312" w:hAnsi="仿宋_GB2312" w:cs="仿宋_GB2312"/>
          <w:b/>
        </w:rPr>
        <w:t>八步区。</w:t>
      </w:r>
      <w:r>
        <w:rPr>
          <w:rFonts w:hint="eastAsia" w:ascii="仿宋_GB2312" w:hAnsi="仿宋_GB2312" w:cs="仿宋_GB2312"/>
          <w:b/>
          <w:bCs/>
          <w:u w:val="single"/>
        </w:rPr>
        <w:t>城市化地区，其中桂岭镇、铺门镇细化为农产品主产区，步头镇、大宁镇、开山镇、里松镇、黄洞瑶族乡、大桂山林场、姑婆山林场、黄洞林场细化为重点生态功能区；</w:t>
      </w:r>
      <w:r>
        <w:rPr>
          <w:rFonts w:hint="eastAsia" w:ascii="仿宋_GB2312" w:hAnsi="仿宋_GB2312" w:cs="仿宋_GB2312"/>
        </w:rPr>
        <w:t>市域中心城市，引领全市高质量发展核心增长极和“主引擎”，贺州全力东融重要门户。</w:t>
      </w:r>
      <w:r>
        <w:rPr>
          <w:rFonts w:hint="eastAsia" w:ascii="仿宋_GB2312" w:hAnsi="仿宋_GB2312" w:cs="仿宋_GB2312"/>
          <w:b/>
          <w:bCs/>
          <w:u w:val="single"/>
        </w:rPr>
        <w:t>到2035年，生态保护红线面积不低于598.55平方千米，用水总量控制在4.16亿立方米以内，永久基本农田保护面积不低于37.18万亩，耕地保有量不低于40.36万亩，城镇开发边界扩展倍数为1.22。</w:t>
      </w:r>
    </w:p>
    <w:p>
      <w:pPr>
        <w:ind w:firstLine="643"/>
        <w:rPr>
          <w:rFonts w:ascii="仿宋_GB2312" w:hAnsi="仿宋_GB2312" w:cs="仿宋_GB2312"/>
        </w:rPr>
      </w:pPr>
      <w:r>
        <w:rPr>
          <w:rFonts w:hint="eastAsia" w:ascii="仿宋_GB2312" w:hAnsi="仿宋_GB2312" w:cs="仿宋_GB2312"/>
          <w:b/>
        </w:rPr>
        <w:t>平桂区。</w:t>
      </w:r>
      <w:r>
        <w:rPr>
          <w:rFonts w:hint="eastAsia" w:ascii="仿宋_GB2312" w:hAnsi="仿宋_GB2312" w:cs="仿宋_GB2312"/>
          <w:b/>
          <w:u w:val="single"/>
        </w:rPr>
        <w:t>城市化地区并叠加资源枯竭地区功能类型，其中羊头镇细化为农产品主产区，水口镇、大桂山林场、大平瑶族乡、姑婆山林场细化为重点生态功能区；</w:t>
      </w:r>
      <w:r>
        <w:rPr>
          <w:rFonts w:hint="eastAsia" w:ascii="仿宋_GB2312" w:hAnsi="仿宋_GB2312" w:cs="仿宋_GB2312"/>
        </w:rPr>
        <w:t>市域中心城市，引领全市高质量发展核心增长极和“主引擎”，现代化新城区和战略性新兴产业基地。</w:t>
      </w:r>
      <w:r>
        <w:rPr>
          <w:rFonts w:hint="eastAsia" w:ascii="仿宋_GB2312" w:hAnsi="仿宋_GB2312" w:cs="仿宋_GB2312"/>
          <w:b/>
          <w:bCs/>
          <w:u w:val="single"/>
        </w:rPr>
        <w:t>到2035年，生态保护红线面积不低于175.</w:t>
      </w:r>
      <w:r>
        <w:rPr>
          <w:rFonts w:ascii="仿宋_GB2312" w:hAnsi="仿宋_GB2312" w:cs="仿宋_GB2312"/>
          <w:b/>
          <w:bCs/>
          <w:u w:val="single"/>
        </w:rPr>
        <w:t>44</w:t>
      </w:r>
      <w:r>
        <w:rPr>
          <w:rFonts w:hint="eastAsia" w:ascii="仿宋_GB2312" w:hAnsi="仿宋_GB2312" w:cs="仿宋_GB2312"/>
          <w:b/>
          <w:bCs/>
          <w:u w:val="single"/>
        </w:rPr>
        <w:t>平方千米，用水总量控制在3.43亿立方米以内，永久基本农田保护面积不低于</w:t>
      </w:r>
      <w:r>
        <w:rPr>
          <w:rFonts w:ascii="仿宋_GB2312" w:hAnsi="仿宋_GB2312" w:cs="仿宋_GB2312"/>
          <w:b/>
          <w:bCs/>
          <w:u w:val="single"/>
        </w:rPr>
        <w:t>20.25</w:t>
      </w:r>
      <w:r>
        <w:rPr>
          <w:rFonts w:hint="eastAsia" w:ascii="仿宋_GB2312" w:hAnsi="仿宋_GB2312" w:cs="仿宋_GB2312"/>
          <w:b/>
          <w:bCs/>
          <w:u w:val="single"/>
        </w:rPr>
        <w:t>万亩，耕地保有量不低于</w:t>
      </w:r>
      <w:r>
        <w:rPr>
          <w:rFonts w:ascii="仿宋_GB2312" w:hAnsi="仿宋_GB2312" w:cs="仿宋_GB2312"/>
          <w:b/>
          <w:bCs/>
          <w:u w:val="single"/>
        </w:rPr>
        <w:t>25.98</w:t>
      </w:r>
      <w:r>
        <w:rPr>
          <w:rFonts w:hint="eastAsia" w:ascii="仿宋_GB2312" w:hAnsi="仿宋_GB2312" w:cs="仿宋_GB2312"/>
          <w:b/>
          <w:bCs/>
          <w:u w:val="single"/>
        </w:rPr>
        <w:t>万亩，城镇开发边界扩展倍数为1.4</w:t>
      </w:r>
      <w:r>
        <w:rPr>
          <w:rFonts w:ascii="仿宋_GB2312" w:hAnsi="仿宋_GB2312" w:cs="仿宋_GB2312"/>
          <w:b/>
          <w:bCs/>
          <w:u w:val="single"/>
        </w:rPr>
        <w:t>4</w:t>
      </w:r>
      <w:r>
        <w:rPr>
          <w:rFonts w:hint="eastAsia" w:ascii="仿宋_GB2312" w:hAnsi="仿宋_GB2312" w:cs="仿宋_GB2312"/>
          <w:b/>
          <w:bCs/>
          <w:u w:val="single"/>
        </w:rPr>
        <w:t>。</w:t>
      </w:r>
    </w:p>
    <w:p>
      <w:pPr>
        <w:ind w:firstLine="643"/>
        <w:rPr>
          <w:rFonts w:ascii="仿宋_GB2312" w:hAnsi="仿宋_GB2312" w:cs="仿宋_GB2312"/>
          <w:b/>
          <w:bCs/>
          <w:u w:val="single"/>
        </w:rPr>
      </w:pPr>
      <w:r>
        <w:rPr>
          <w:rFonts w:hint="eastAsia" w:ascii="仿宋_GB2312" w:hAnsi="仿宋_GB2312" w:cs="仿宋_GB2312"/>
          <w:b/>
        </w:rPr>
        <w:t>昭平县。</w:t>
      </w:r>
      <w:r>
        <w:rPr>
          <w:rFonts w:hint="eastAsia" w:ascii="仿宋_GB2312" w:hAnsi="仿宋_GB2312" w:cs="仿宋_GB2312"/>
          <w:b/>
          <w:u w:val="single"/>
        </w:rPr>
        <w:t>国家级重点生态功能区并叠加能源资源富集区功能类型，其中昭平镇、黄姚镇、马江镇细化为城市化地区，樟木林镇、凤凰乡细化为农产品主产区；</w:t>
      </w:r>
      <w:r>
        <w:rPr>
          <w:rFonts w:hint="eastAsia" w:ascii="仿宋_GB2312" w:hAnsi="仿宋_GB2312" w:cs="仿宋_GB2312"/>
        </w:rPr>
        <w:t>市域副中心城市，广西有机茶都，休闲型山水森林城。到2035年，</w:t>
      </w:r>
      <w:r>
        <w:rPr>
          <w:rFonts w:hint="eastAsia" w:ascii="仿宋_GB2312" w:hAnsi="仿宋_GB2312" w:cs="仿宋_GB2312"/>
          <w:b/>
          <w:bCs/>
          <w:u w:val="single"/>
        </w:rPr>
        <w:t>生态保护红线面积不低于620.38平方千米，用水总量控制在2.95亿立方米以内，永久基本农田保护面积不低于13.16万亩，耕地保有量不低于14.24万亩，城镇开发边界扩展倍数为1.33。</w:t>
      </w:r>
    </w:p>
    <w:p>
      <w:pPr>
        <w:ind w:firstLine="643"/>
        <w:rPr>
          <w:rFonts w:ascii="仿宋_GB2312" w:hAnsi="仿宋_GB2312" w:cs="仿宋_GB2312"/>
          <w:b/>
          <w:bCs/>
          <w:u w:val="single"/>
        </w:rPr>
      </w:pPr>
      <w:r>
        <w:rPr>
          <w:rFonts w:hint="eastAsia" w:ascii="仿宋_GB2312" w:hAnsi="仿宋_GB2312" w:cs="仿宋_GB2312"/>
          <w:b/>
        </w:rPr>
        <w:t>钟山县。</w:t>
      </w:r>
      <w:r>
        <w:rPr>
          <w:rFonts w:hint="eastAsia" w:ascii="仿宋_GB2312" w:hAnsi="仿宋_GB2312" w:cs="仿宋_GB2312"/>
          <w:b/>
          <w:u w:val="single"/>
        </w:rPr>
        <w:t>农产品主产区并叠加能源资源富集区功能类型，其中钟山镇、公安镇细化为城市化地区，花山瑶族乡、两安瑶族乡细化为重点生态功能区；</w:t>
      </w:r>
      <w:r>
        <w:rPr>
          <w:rFonts w:hint="eastAsia" w:ascii="仿宋_GB2312" w:hAnsi="仿宋_GB2312" w:cs="仿宋_GB2312"/>
        </w:rPr>
        <w:t>市域副中心城市，粤桂黔滇高铁经济带物流和旅游黄金节点城市，桂东北电子信息产业和矿产资源加工基地。</w:t>
      </w:r>
      <w:r>
        <w:rPr>
          <w:rFonts w:hint="eastAsia" w:ascii="仿宋_GB2312" w:hAnsi="仿宋_GB2312" w:cs="仿宋_GB2312"/>
          <w:b/>
          <w:bCs/>
          <w:u w:val="single"/>
        </w:rPr>
        <w:t>到2035年，生态保护红线面积不低于161.</w:t>
      </w:r>
      <w:r>
        <w:rPr>
          <w:rFonts w:ascii="仿宋_GB2312" w:hAnsi="仿宋_GB2312" w:cs="仿宋_GB2312"/>
          <w:b/>
          <w:bCs/>
          <w:u w:val="single"/>
        </w:rPr>
        <w:t>93</w:t>
      </w:r>
      <w:r>
        <w:rPr>
          <w:rFonts w:hint="eastAsia" w:ascii="仿宋_GB2312" w:hAnsi="仿宋_GB2312" w:cs="仿宋_GB2312"/>
          <w:b/>
          <w:bCs/>
          <w:u w:val="single"/>
        </w:rPr>
        <w:t>平方千米，用水总量控制在3.25亿立方米以内，永久基本农田保护面积不低于</w:t>
      </w:r>
      <w:r>
        <w:rPr>
          <w:rFonts w:ascii="仿宋_GB2312" w:hAnsi="仿宋_GB2312" w:cs="仿宋_GB2312"/>
          <w:b/>
          <w:bCs/>
          <w:u w:val="single"/>
        </w:rPr>
        <w:t>35.11</w:t>
      </w:r>
      <w:r>
        <w:rPr>
          <w:rFonts w:hint="eastAsia" w:ascii="仿宋_GB2312" w:hAnsi="仿宋_GB2312" w:cs="仿宋_GB2312"/>
          <w:b/>
          <w:bCs/>
          <w:u w:val="single"/>
        </w:rPr>
        <w:t>万亩，耕地保有量不低于3</w:t>
      </w:r>
      <w:r>
        <w:rPr>
          <w:rFonts w:ascii="仿宋_GB2312" w:hAnsi="仿宋_GB2312" w:cs="仿宋_GB2312"/>
          <w:b/>
          <w:bCs/>
          <w:u w:val="single"/>
        </w:rPr>
        <w:t>8.78</w:t>
      </w:r>
      <w:r>
        <w:rPr>
          <w:rFonts w:hint="eastAsia" w:ascii="仿宋_GB2312" w:hAnsi="仿宋_GB2312" w:cs="仿宋_GB2312"/>
          <w:b/>
          <w:bCs/>
          <w:u w:val="single"/>
        </w:rPr>
        <w:t>万亩，城镇开发边界扩展倍数为1.</w:t>
      </w:r>
      <w:r>
        <w:rPr>
          <w:rFonts w:ascii="仿宋_GB2312" w:hAnsi="仿宋_GB2312" w:cs="仿宋_GB2312"/>
          <w:b/>
          <w:bCs/>
          <w:u w:val="single"/>
        </w:rPr>
        <w:t>30</w:t>
      </w:r>
      <w:r>
        <w:rPr>
          <w:rFonts w:hint="eastAsia" w:ascii="仿宋_GB2312" w:hAnsi="仿宋_GB2312" w:cs="仿宋_GB2312"/>
          <w:b/>
          <w:bCs/>
          <w:u w:val="single"/>
        </w:rPr>
        <w:t>。</w:t>
      </w:r>
    </w:p>
    <w:p>
      <w:pPr>
        <w:ind w:firstLine="643"/>
        <w:rPr>
          <w:rFonts w:ascii="仿宋_GB2312" w:hAnsi="仿宋_GB2312" w:cs="仿宋_GB2312"/>
          <w:b/>
          <w:bCs/>
          <w:u w:val="single"/>
        </w:rPr>
      </w:pPr>
      <w:r>
        <w:rPr>
          <w:rFonts w:hint="eastAsia" w:ascii="仿宋_GB2312" w:hAnsi="仿宋_GB2312" w:cs="仿宋_GB2312"/>
          <w:b/>
        </w:rPr>
        <w:t>富川瑶族自治县。</w:t>
      </w:r>
      <w:r>
        <w:rPr>
          <w:rFonts w:hint="eastAsia" w:ascii="仿宋_GB2312" w:hAnsi="仿宋_GB2312" w:cs="仿宋_GB2312"/>
          <w:b/>
          <w:u w:val="single"/>
        </w:rPr>
        <w:t>国家级重点生态功能区，其中富阳镇、莲山镇、麦岭镇细化为城市化地区，福利镇细化为农产品主产区；</w:t>
      </w:r>
      <w:r>
        <w:rPr>
          <w:rFonts w:hint="eastAsia" w:ascii="仿宋_GB2312" w:hAnsi="仿宋_GB2312" w:cs="仿宋_GB2312"/>
        </w:rPr>
        <w:t>市域副中心城市，具有瑶族风情和文化特色的新兴商贸旅游城市、国家循环经济示范县。</w:t>
      </w:r>
      <w:r>
        <w:rPr>
          <w:rFonts w:hint="eastAsia" w:ascii="仿宋_GB2312" w:hAnsi="仿宋_GB2312" w:cs="仿宋_GB2312"/>
          <w:b/>
          <w:bCs/>
          <w:u w:val="single"/>
        </w:rPr>
        <w:t>到2035年，生态保护红线面积不低于361.84平方千米，用水总量控制在2.71亿立方米以内，永久基本农田保护面积不低于49.07万亩，耕地保有量不低于52.99万亩，城镇开发边界扩展倍数为1.30。</w:t>
      </w:r>
    </w:p>
    <w:p>
      <w:pPr>
        <w:pStyle w:val="5"/>
        <w:numPr>
          <w:ilvl w:val="0"/>
          <w:numId w:val="5"/>
        </w:numPr>
        <w:spacing w:before="156" w:after="0" w:afterLines="0"/>
        <w:ind w:left="0" w:firstLine="640"/>
        <w:rPr>
          <w:lang w:val="zh-CN"/>
        </w:rPr>
      </w:pPr>
      <w:r>
        <w:rPr>
          <w:rFonts w:hint="eastAsia"/>
          <w:lang w:val="zh-CN"/>
        </w:rPr>
        <w:t>市辖区乡镇规划传导</w:t>
      </w:r>
    </w:p>
    <w:p>
      <w:pPr>
        <w:ind w:firstLine="640"/>
        <w:rPr>
          <w:rFonts w:ascii="仿宋_GB2312" w:hAnsi="仿宋_GB2312" w:cs="仿宋_GB2312"/>
        </w:rPr>
      </w:pPr>
      <w:r>
        <w:rPr>
          <w:rFonts w:hint="eastAsia" w:ascii="仿宋_GB2312" w:hAnsi="仿宋_GB2312" w:cs="仿宋_GB2312"/>
        </w:rPr>
        <w:t>乡镇级国土空间规划的编制单元以镇为单位，战略方向和核心要素管控要求应符合市级总体规划分解下达或传导要求，其中主体功能区、永久基本农田、耕地保有量、生态保护红线、用水总量及城镇开发边界扩展倍数为强制性内容，应严格落实。</w:t>
      </w:r>
    </w:p>
    <w:p>
      <w:pPr>
        <w:pStyle w:val="2"/>
        <w:ind w:firstLine="640"/>
        <w:rPr>
          <w:rFonts w:ascii="仿宋_GB2312" w:hAnsi="仿宋_GB2312" w:cs="仿宋_GB2312"/>
        </w:rPr>
      </w:pPr>
    </w:p>
    <w:p>
      <w:pPr>
        <w:pStyle w:val="2"/>
        <w:ind w:firstLine="0" w:firstLineChars="0"/>
        <w:rPr>
          <w:rFonts w:ascii="仿宋_GB2312" w:hAnsi="仿宋_GB2312" w:cs="仿宋_GB2312"/>
        </w:rPr>
      </w:pPr>
    </w:p>
    <w:p>
      <w:pPr>
        <w:pStyle w:val="2"/>
        <w:ind w:firstLine="0" w:firstLineChars="0"/>
        <w:rPr>
          <w:rFonts w:ascii="仿宋_GB2312" w:hAnsi="仿宋_GB2312" w:cs="仿宋_GB2312"/>
        </w:rPr>
      </w:pPr>
    </w:p>
    <w:p>
      <w:pPr>
        <w:pStyle w:val="5"/>
        <w:numPr>
          <w:ilvl w:val="0"/>
          <w:numId w:val="5"/>
        </w:numPr>
        <w:spacing w:before="156" w:after="0" w:afterLines="0"/>
        <w:ind w:left="0" w:firstLine="640"/>
        <w:rPr>
          <w:lang w:val="zh-CN"/>
        </w:rPr>
      </w:pPr>
      <w:r>
        <w:rPr>
          <w:rFonts w:hint="eastAsia"/>
          <w:lang w:val="zh-CN"/>
        </w:rPr>
        <w:t>专项规划指引</w:t>
      </w:r>
    </w:p>
    <w:p>
      <w:pPr>
        <w:snapToGrid w:val="0"/>
        <w:ind w:firstLine="643"/>
        <w:rPr>
          <w:rFonts w:ascii="仿宋_GB2312" w:hAnsi="仿宋_GB2312" w:cs="仿宋_GB2312"/>
        </w:rPr>
      </w:pPr>
      <w:r>
        <w:rPr>
          <w:rFonts w:hint="eastAsia" w:ascii="仿宋_GB2312" w:hAnsi="仿宋_GB2312" w:cs="仿宋_GB2312"/>
          <w:b/>
          <w:bCs/>
        </w:rPr>
        <w:t>强化国土空间规划对各专项规划的指导和约束作用。</w:t>
      </w:r>
      <w:r>
        <w:rPr>
          <w:rFonts w:hint="eastAsia" w:ascii="仿宋_GB2312" w:hAnsi="仿宋_GB2312" w:cs="仿宋_GB2312"/>
        </w:rPr>
        <w:t>在编制清单和管控指引的指导约束下编制专项规划，加强规划横向衔接，落实相关约束性指标，不得违背市级国土空间总体规划强制性内容。综合考虑把握传导刚性与弹性尺度，在保障总体规划的底线管控与战略意图传导到位的前提下，应留出适当弹性范围和调整空间。由市人民政府根据市级总体规划的要求，制定市级专项规划的目录清单，对纳入目录清单的规划提供统一的底图底数，按照“统一底图、统一标准、统一规划、统一平台”的要求，统筹协调专项规划编制，在国土空间规划“一张图”实施监督信息系统上协调解决各类空间矛盾后，纳入平台统一管理。</w:t>
      </w:r>
    </w:p>
    <w:p>
      <w:pPr>
        <w:pStyle w:val="2"/>
        <w:snapToGrid w:val="0"/>
        <w:ind w:firstLine="640"/>
        <w:rPr>
          <w:rFonts w:ascii="仿宋_GB2312" w:hAnsi="仿宋_GB2312" w:cs="仿宋_GB2312"/>
        </w:rPr>
      </w:pPr>
      <w:r>
        <w:rPr>
          <w:rFonts w:hint="eastAsia" w:ascii="仿宋_GB2312" w:hAnsi="仿宋_GB2312" w:cs="仿宋_GB2312"/>
        </w:rPr>
        <w:t>涉及自然资源保护的特定领域专项规划，包括自然保护地体系、国土综合整治和生态修复、水资源综合利用、矿产资源勘察开发、耕地农用地保护利用、林地保护利用等专项规划，应以本规划确定的各类空间格局、规划分区为依据，严格落实资源保护类指标，遵守总体规划在耕地和永久基本农田、生态保护红线、自然资源要素保护与利用等方面的管控要求。</w:t>
      </w:r>
    </w:p>
    <w:p>
      <w:pPr>
        <w:pStyle w:val="2"/>
        <w:snapToGrid w:val="0"/>
        <w:ind w:firstLine="640"/>
        <w:rPr>
          <w:rFonts w:ascii="仿宋_GB2312" w:hAnsi="仿宋_GB2312" w:cs="仿宋_GB2312"/>
        </w:rPr>
      </w:pPr>
      <w:r>
        <w:rPr>
          <w:rFonts w:hint="eastAsia" w:ascii="仿宋_GB2312" w:hAnsi="仿宋_GB2312" w:cs="仿宋_GB2312"/>
        </w:rPr>
        <w:t>涉及空间利用的特定领域专项规划，包括历史文化保护、公共服务设施，军事设施及生态环境保护等专项规划，应以总体规划确定的规划分区、相关控制线为依据，落实相关空间管控和布局要求。交通、能源、水利、农业、信息、市政等基础设施专项规划，应以总体规划确定的国土空间开发保护格局和规划分区、建设指标和布局要求为依据，落实本规划在特定领域的控制指标和廊道布局要求。</w:t>
      </w:r>
    </w:p>
    <w:p>
      <w:pPr>
        <w:pStyle w:val="5"/>
        <w:numPr>
          <w:ilvl w:val="0"/>
          <w:numId w:val="5"/>
        </w:numPr>
        <w:spacing w:before="156" w:after="0" w:afterLines="0"/>
        <w:ind w:left="0" w:firstLine="640"/>
        <w:rPr>
          <w:lang w:val="zh-CN"/>
        </w:rPr>
      </w:pPr>
      <w:r>
        <w:rPr>
          <w:rFonts w:hint="eastAsia"/>
          <w:lang w:val="zh-CN"/>
        </w:rPr>
        <w:t>详细规划指引</w:t>
      </w:r>
    </w:p>
    <w:p>
      <w:pPr>
        <w:ind w:firstLine="643"/>
        <w:rPr>
          <w:rFonts w:ascii="仿宋_GB2312" w:hAnsi="仿宋_GB2312" w:cs="仿宋_GB2312"/>
        </w:rPr>
      </w:pPr>
      <w:r>
        <w:rPr>
          <w:rFonts w:hint="eastAsia" w:ascii="仿宋_GB2312" w:hAnsi="仿宋_GB2312" w:cs="仿宋_GB2312"/>
          <w:b/>
          <w:bCs/>
        </w:rPr>
        <w:t>细化控制性详细规划单元划分和管控导则，加强规划纵向传导。</w:t>
      </w:r>
      <w:r>
        <w:rPr>
          <w:rFonts w:hint="eastAsia" w:ascii="仿宋_GB2312" w:hAnsi="仿宋_GB2312" w:cs="仿宋_GB2312"/>
        </w:rPr>
        <w:t>建立“中心城区—片区—单元”或“县城—单元”的规划传导体系，通过片区和单元向下传导并提出相应的传导指标，将总体规划提出的规模管控、底线约束、用地布局、设施分解落实到管理单元导则，并进一步细化规模管控、底线约束、用地布局、设施分解指标至街区和地块。管理单元详细规划核心内容包括：规模管控方面，确定单元内居住用地面积、居住建筑总量以及市、镇、社区三级设施规模总量；底线约束方面，落实各类刚性底线管控的边界与规模；用地布局方面，用地划分至二级用途分类，其中市、镇级设施与居住用地细化至三级分类、新增社区级设施至三级分类。设置“中心城区—片区—单元”规划传导体系，中心城区划定旺高产业片区、碳酸钙产业（西湾）片区、平桂新城片区、东融新城片区、姑婆山片区、高新技术产业片区、八步老城片区、城东新城片区、江南新城片区、园博园片区、莲塘片区、贺街片区12个片区。</w:t>
      </w:r>
    </w:p>
    <w:p>
      <w:pPr>
        <w:pStyle w:val="2"/>
        <w:ind w:firstLine="643"/>
        <w:rPr>
          <w:rFonts w:ascii="仿宋_GB2312" w:hAnsi="仿宋_GB2312" w:cs="仿宋_GB2312"/>
        </w:rPr>
      </w:pPr>
      <w:r>
        <w:rPr>
          <w:rFonts w:hint="eastAsia" w:ascii="仿宋_GB2312" w:hAnsi="仿宋_GB2312" w:cs="仿宋_GB2312"/>
          <w:b/>
          <w:bCs/>
        </w:rPr>
        <w:t>市辖区各乡镇应在本次规划的指引下有序开展镇区控制性详细规划及行政村村庄规划编制工作。</w:t>
      </w:r>
      <w:r>
        <w:rPr>
          <w:rFonts w:hint="eastAsia" w:ascii="仿宋_GB2312" w:hAnsi="仿宋_GB2312" w:cs="仿宋_GB2312"/>
        </w:rPr>
        <w:t>乡镇国土空间总体规划应进行镇区控规单元之间各类设施和指标的统筹衔接，合理确定各单元人口、用地和建设规模等指标；统筹各级道路红线宽度、交叉口形式、断面形式、控制点坐标和标高等；统筹各类公用设施的用地规模、设置要求；统筹市政管线线位、管底标高、管径等控制要素；划定城市绿线、城市蓝线、城市黄线、历史文化保护线的管控范围和要求。市辖区各行政村应按照本次规划确定的村庄分类建设指导、村庄基础设施分级指导、村庄公共服务设施分级分类引导。</w:t>
      </w:r>
    </w:p>
    <w:p>
      <w:pPr>
        <w:pStyle w:val="4"/>
        <w:numPr>
          <w:ilvl w:val="0"/>
          <w:numId w:val="17"/>
        </w:numPr>
        <w:tabs>
          <w:tab w:val="left" w:pos="360"/>
        </w:tabs>
        <w:spacing w:before="156" w:beforeLines="50" w:line="460" w:lineRule="exact"/>
        <w:ind w:left="0" w:firstLine="0"/>
        <w:rPr>
          <w:rFonts w:ascii="Times New Roman" w:hAnsi="Times New Roman"/>
        </w:rPr>
      </w:pPr>
      <w:bookmarkStart w:id="615" w:name="_Toc29114"/>
      <w:bookmarkStart w:id="616" w:name="_Toc11963"/>
      <w:bookmarkStart w:id="617" w:name="_Toc128144659"/>
      <w:bookmarkStart w:id="618" w:name="_Toc31452"/>
      <w:bookmarkStart w:id="619" w:name="_Toc15080"/>
      <w:bookmarkStart w:id="620" w:name="_Toc24026_WPSOffice_Level2"/>
      <w:bookmarkStart w:id="621" w:name="_Toc213018299"/>
      <w:r>
        <w:rPr>
          <w:rFonts w:hint="eastAsia" w:ascii="Times New Roman" w:hAnsi="Times New Roman"/>
        </w:rPr>
        <w:t>制定近期行动计划</w:t>
      </w:r>
      <w:bookmarkEnd w:id="615"/>
      <w:bookmarkEnd w:id="616"/>
      <w:bookmarkEnd w:id="617"/>
      <w:bookmarkEnd w:id="618"/>
      <w:bookmarkEnd w:id="619"/>
      <w:bookmarkEnd w:id="620"/>
      <w:bookmarkEnd w:id="621"/>
    </w:p>
    <w:p>
      <w:pPr>
        <w:pStyle w:val="5"/>
        <w:numPr>
          <w:ilvl w:val="0"/>
          <w:numId w:val="5"/>
        </w:numPr>
        <w:spacing w:before="156" w:after="0" w:afterLines="0"/>
        <w:ind w:left="0" w:firstLine="640"/>
        <w:rPr>
          <w:lang w:val="zh-CN"/>
        </w:rPr>
      </w:pPr>
      <w:r>
        <w:rPr>
          <w:rFonts w:hint="eastAsia"/>
          <w:lang w:val="zh-CN"/>
        </w:rPr>
        <w:t>中心城区空间结构优化行动</w:t>
      </w:r>
    </w:p>
    <w:p>
      <w:pPr>
        <w:ind w:firstLine="643"/>
        <w:rPr>
          <w:rFonts w:ascii="仿宋_GB2312" w:hAnsi="仿宋_GB2312" w:cs="仿宋_GB2312"/>
        </w:rPr>
      </w:pPr>
      <w:r>
        <w:rPr>
          <w:rFonts w:hint="eastAsia" w:ascii="仿宋_GB2312" w:hAnsi="仿宋_GB2312" w:cs="仿宋_GB2312"/>
          <w:b/>
          <w:bCs/>
        </w:rPr>
        <w:t>完善中心城区空间结构。</w:t>
      </w:r>
      <w:r>
        <w:rPr>
          <w:rFonts w:hint="eastAsia" w:ascii="仿宋_GB2312" w:hAnsi="仿宋_GB2312" w:cs="仿宋_GB2312"/>
        </w:rPr>
        <w:t>以城东新区和东融新区的建设为龙头带动城市中心组团的空间整合；积极推进平桂新城与旺高组团产城融合发展战略；加速江南新区片区的基础设施衔接；推进莲贺组团的空间优化与整合。</w:t>
      </w:r>
    </w:p>
    <w:p>
      <w:pPr>
        <w:ind w:firstLine="643"/>
        <w:rPr>
          <w:rFonts w:ascii="仿宋_GB2312" w:hAnsi="仿宋_GB2312" w:cs="仿宋_GB2312"/>
        </w:rPr>
      </w:pPr>
      <w:r>
        <w:rPr>
          <w:rFonts w:hint="eastAsia" w:ascii="仿宋_GB2312" w:hAnsi="仿宋_GB2312" w:cs="仿宋_GB2312"/>
          <w:b/>
          <w:bCs/>
        </w:rPr>
        <w:t>完善城市综合交通体系。</w:t>
      </w:r>
      <w:r>
        <w:rPr>
          <w:rFonts w:hint="eastAsia" w:ascii="仿宋_GB2312" w:hAnsi="仿宋_GB2312" w:cs="仿宋_GB2312"/>
        </w:rPr>
        <w:t>整合公共交通系统建设，理顺城市道路网络，重点推进快速环路、东融新区路网等城市道路建设。</w:t>
      </w:r>
    </w:p>
    <w:p>
      <w:pPr>
        <w:ind w:firstLine="643"/>
        <w:rPr>
          <w:rFonts w:ascii="仿宋_GB2312" w:hAnsi="仿宋_GB2312" w:cs="仿宋_GB2312"/>
        </w:rPr>
      </w:pPr>
      <w:r>
        <w:rPr>
          <w:rFonts w:hint="eastAsia" w:ascii="仿宋_GB2312" w:hAnsi="仿宋_GB2312" w:cs="仿宋_GB2312"/>
          <w:b/>
          <w:bCs/>
        </w:rPr>
        <w:t>加强历史文化保护。</w:t>
      </w:r>
      <w:r>
        <w:rPr>
          <w:rFonts w:hint="eastAsia" w:ascii="仿宋_GB2312" w:hAnsi="仿宋_GB2312" w:cs="仿宋_GB2312"/>
        </w:rPr>
        <w:t>强化临贺故城及历史文化街区的街道空间尺度与风貌保护。逐步引导老城功能与人口疏解，推进老居住区、老街巷、农贸市场改造，开展城市环境整治。</w:t>
      </w:r>
    </w:p>
    <w:p>
      <w:pPr>
        <w:ind w:firstLine="643"/>
        <w:rPr>
          <w:rFonts w:ascii="仿宋_GB2312" w:hAnsi="仿宋_GB2312" w:cs="仿宋_GB2312"/>
        </w:rPr>
      </w:pPr>
      <w:r>
        <w:rPr>
          <w:rFonts w:hint="eastAsia" w:ascii="仿宋_GB2312" w:hAnsi="仿宋_GB2312" w:cs="仿宋_GB2312"/>
          <w:b/>
          <w:bCs/>
        </w:rPr>
        <w:t>梳理城市蓝绿系统。</w:t>
      </w:r>
      <w:r>
        <w:rPr>
          <w:rFonts w:hint="eastAsia" w:ascii="仿宋_GB2312" w:hAnsi="仿宋_GB2312" w:cs="仿宋_GB2312"/>
        </w:rPr>
        <w:t>初步构筑“两廊十园”的绿地系统结构，重点推进贺江和马尾河蓝色生态廊道建设。</w:t>
      </w:r>
    </w:p>
    <w:p>
      <w:pPr>
        <w:pStyle w:val="5"/>
        <w:numPr>
          <w:ilvl w:val="0"/>
          <w:numId w:val="5"/>
        </w:numPr>
        <w:spacing w:before="156" w:after="0" w:afterLines="0"/>
        <w:ind w:left="0" w:firstLine="640"/>
        <w:rPr>
          <w:lang w:val="zh-CN"/>
        </w:rPr>
      </w:pPr>
      <w:r>
        <w:rPr>
          <w:rFonts w:hint="eastAsia"/>
          <w:lang w:val="zh-CN"/>
        </w:rPr>
        <w:t>区域交通设施建设行动</w:t>
      </w:r>
    </w:p>
    <w:p>
      <w:pPr>
        <w:ind w:firstLine="643"/>
        <w:rPr>
          <w:rFonts w:ascii="仿宋_GB2312" w:hAnsi="仿宋_GB2312" w:cs="仿宋_GB2312"/>
        </w:rPr>
      </w:pPr>
      <w:r>
        <w:rPr>
          <w:rFonts w:hint="eastAsia" w:ascii="仿宋_GB2312" w:hAnsi="仿宋_GB2312" w:cs="仿宋_GB2312"/>
          <w:b/>
          <w:bCs/>
        </w:rPr>
        <w:t>推动机场建设。</w:t>
      </w:r>
      <w:r>
        <w:rPr>
          <w:rFonts w:hint="eastAsia" w:ascii="仿宋_GB2312" w:hAnsi="仿宋_GB2312" w:cs="仿宋_GB2312"/>
        </w:rPr>
        <w:t>推进新建贺州民用机场和黄姚、钟山、富川3个通用机场。</w:t>
      </w:r>
    </w:p>
    <w:p>
      <w:pPr>
        <w:ind w:firstLine="643"/>
        <w:rPr>
          <w:rFonts w:ascii="仿宋_GB2312" w:hAnsi="仿宋_GB2312" w:cs="仿宋_GB2312"/>
        </w:rPr>
      </w:pPr>
      <w:r>
        <w:rPr>
          <w:rFonts w:hint="eastAsia" w:ascii="仿宋_GB2312" w:hAnsi="仿宋_GB2312" w:cs="仿宋_GB2312"/>
          <w:b/>
          <w:bCs/>
        </w:rPr>
        <w:t>加快铁路互联互通。</w:t>
      </w:r>
      <w:r>
        <w:rPr>
          <w:rFonts w:hint="eastAsia" w:ascii="仿宋_GB2312" w:hAnsi="仿宋_GB2312" w:cs="仿宋_GB2312"/>
        </w:rPr>
        <w:t>重点推进贵阳至广州铁路提质工程、柳州经贺州至韶关铁路、柳州至贺州城际铁路、渝粤铁路（桂林经贺州至肇庆段）、益湛铁路永州至玉林段扩能改造、贺州至梧州城际铁路、京广二通道（贺州联络线）高铁建设。新建贺州至姑婆山磁悬浮专列、贺州至南乡支线、贺州至黄姚（昭平）支线、贺州里松新型材料加工园区铁路专用线、中资控股钟山铁路专用线、贺江贺街作业区专用线、贺江信都作业区专用线铁路支线项目。</w:t>
      </w:r>
    </w:p>
    <w:p>
      <w:pPr>
        <w:ind w:firstLine="643"/>
        <w:rPr>
          <w:rFonts w:ascii="仿宋_GB2312" w:hAnsi="仿宋_GB2312" w:cs="仿宋_GB2312"/>
        </w:rPr>
      </w:pPr>
      <w:r>
        <w:rPr>
          <w:rFonts w:hint="eastAsia" w:ascii="仿宋_GB2312" w:hAnsi="仿宋_GB2312" w:cs="仿宋_GB2312"/>
          <w:b/>
          <w:bCs/>
        </w:rPr>
        <w:t>提速干线公路成网。</w:t>
      </w:r>
      <w:r>
        <w:rPr>
          <w:rFonts w:hint="eastAsia" w:ascii="仿宋_GB2312" w:hAnsi="仿宋_GB2312" w:cs="仿宋_GB2312"/>
        </w:rPr>
        <w:t>建设城北经朝东至桃川高速、桂林经恭城至钟山高速、永贺高速贺州支线（贺州北过境线）、永州经贺州至韶关高速、连山至贺州高速、信都至大宁高速、平乐至昭平高速、昭平至平南高速、贺州环城高速机场支线、广宁经苍梧至昭平高速、信都至梧州高速、信都至广东南丰高速，G78汕昆高速阳朔至灵峰段改扩建等项目。对贺州市境内G207、G323、G355、S302、S201等国省干线临近景区、产业园及城镇局部路段进行提级改造，建设贺州市环线工程。</w:t>
      </w:r>
    </w:p>
    <w:p>
      <w:pPr>
        <w:ind w:firstLine="643"/>
        <w:rPr>
          <w:rFonts w:ascii="仿宋_GB2312" w:hAnsi="仿宋_GB2312" w:cs="仿宋_GB2312"/>
        </w:rPr>
      </w:pPr>
      <w:r>
        <w:rPr>
          <w:rFonts w:hint="eastAsia" w:ascii="仿宋_GB2312" w:hAnsi="仿宋_GB2312" w:cs="仿宋_GB2312"/>
          <w:b/>
          <w:bCs/>
        </w:rPr>
        <w:t>升级水运服务能力。</w:t>
      </w:r>
      <w:r>
        <w:rPr>
          <w:rFonts w:hint="eastAsia" w:ascii="仿宋_GB2312" w:hAnsi="仿宋_GB2312" w:cs="仿宋_GB2312"/>
        </w:rPr>
        <w:t>推进贺江复航扩能项目、桂江扩能项目。</w:t>
      </w:r>
    </w:p>
    <w:p>
      <w:pPr>
        <w:pStyle w:val="5"/>
        <w:numPr>
          <w:ilvl w:val="0"/>
          <w:numId w:val="5"/>
        </w:numPr>
        <w:spacing w:before="156" w:after="0" w:afterLines="0"/>
        <w:ind w:left="0" w:firstLine="640"/>
        <w:rPr>
          <w:lang w:val="zh-CN"/>
        </w:rPr>
      </w:pPr>
      <w:r>
        <w:rPr>
          <w:rFonts w:hint="eastAsia"/>
          <w:lang w:val="zh-CN"/>
        </w:rPr>
        <w:t>国土综合治理与生态修复行动</w:t>
      </w:r>
    </w:p>
    <w:p>
      <w:pPr>
        <w:pStyle w:val="2"/>
        <w:ind w:firstLine="643"/>
        <w:rPr>
          <w:rFonts w:ascii="仿宋_GB2312" w:hAnsi="仿宋_GB2312" w:cs="仿宋_GB2312"/>
        </w:rPr>
      </w:pPr>
      <w:r>
        <w:rPr>
          <w:rFonts w:hint="eastAsia" w:ascii="仿宋_GB2312" w:hAnsi="仿宋_GB2312" w:cs="仿宋_GB2312"/>
          <w:b/>
          <w:bCs/>
        </w:rPr>
        <w:t>开展农用地整治。</w:t>
      </w:r>
      <w:r>
        <w:rPr>
          <w:rFonts w:hint="eastAsia" w:ascii="仿宋_GB2312" w:hAnsi="仿宋_GB2312" w:cs="仿宋_GB2312"/>
        </w:rPr>
        <w:t>严守耕地保护红线，保障粮食安全底线，统筹开展农用地整治，确保落实耕地补充，稳步提高耕地质量。实施土地开发重大工程，建设规模为13.76平方千米；实施高标准农田重大工程，建设规模为48.40平方千米；实施耕地提质改造重大工程，建设规模为25.92平方千米。</w:t>
      </w:r>
    </w:p>
    <w:p>
      <w:pPr>
        <w:pStyle w:val="2"/>
        <w:ind w:firstLine="643"/>
        <w:rPr>
          <w:rFonts w:ascii="仿宋_GB2312" w:hAnsi="仿宋_GB2312" w:cs="仿宋_GB2312"/>
        </w:rPr>
      </w:pPr>
      <w:r>
        <w:rPr>
          <w:rFonts w:hint="eastAsia" w:ascii="仿宋_GB2312" w:hAnsi="仿宋_GB2312" w:cs="仿宋_GB2312"/>
          <w:b/>
          <w:bCs/>
        </w:rPr>
        <w:t>开展建设用地整治。</w:t>
      </w:r>
      <w:r>
        <w:rPr>
          <w:rFonts w:hint="eastAsia" w:ascii="仿宋_GB2312" w:hAnsi="仿宋_GB2312" w:cs="仿宋_GB2312"/>
        </w:rPr>
        <w:t>按照城乡统筹发展要求，推进城镇化建设，提高土地利用率，规范开展建设用地整治。实施农村建设用地整治重大工程，建设规模为24.65平方千米；实施城镇低效用地再开发重大工程，建设规模为7.96平方千米。</w:t>
      </w:r>
    </w:p>
    <w:p>
      <w:pPr>
        <w:pStyle w:val="2"/>
        <w:ind w:firstLine="643"/>
        <w:rPr>
          <w:rFonts w:ascii="仿宋_GB2312" w:hAnsi="仿宋_GB2312" w:cs="仿宋_GB2312"/>
        </w:rPr>
      </w:pPr>
      <w:r>
        <w:rPr>
          <w:rFonts w:hint="eastAsia" w:ascii="仿宋_GB2312" w:hAnsi="仿宋_GB2312" w:cs="仿宋_GB2312"/>
          <w:b/>
          <w:bCs/>
        </w:rPr>
        <w:t>推进山水林田湖草沙修复。</w:t>
      </w:r>
      <w:r>
        <w:rPr>
          <w:rFonts w:hint="eastAsia" w:ascii="仿宋_GB2312" w:hAnsi="仿宋_GB2312" w:cs="仿宋_GB2312"/>
        </w:rPr>
        <w:t>近期重点选取生态环境受损较为集中且靠近贺州市区的区域，综合治理矿山地质环境、石漠化、水污染以及土壤污染等问题，消除区域内地质灾害隐患，恢复健康生态系统，提高生态环境质量，打造良好生态景观。开展平桂区黄田镇以及富川瑶族自治县白沙镇、福利镇、古城镇、莲山镇、新华乡的生态综合整治重大工程，建设规模为48.87平方千米。</w:t>
      </w:r>
    </w:p>
    <w:p>
      <w:pPr>
        <w:pStyle w:val="2"/>
        <w:ind w:firstLine="643"/>
        <w:rPr>
          <w:rFonts w:ascii="仿宋_GB2312" w:hAnsi="仿宋_GB2312" w:cs="仿宋_GB2312"/>
        </w:rPr>
      </w:pPr>
      <w:r>
        <w:rPr>
          <w:rFonts w:hint="eastAsia" w:ascii="仿宋_GB2312" w:hAnsi="仿宋_GB2312" w:cs="仿宋_GB2312"/>
          <w:b/>
          <w:bCs/>
        </w:rPr>
        <w:t>综合开展城乡人居环境综合整治。</w:t>
      </w:r>
      <w:r>
        <w:rPr>
          <w:rFonts w:hint="eastAsia" w:ascii="仿宋_GB2312" w:hAnsi="仿宋_GB2312" w:cs="仿宋_GB2312"/>
        </w:rPr>
        <w:t>农村环境综合整治以乡村风貌提升、农村垃圾及污水治理为主要方向，实现农村人居环境明显改善，村庄环境基本干净整洁有序，全市各县统筹安排实施，建设规模为45.05平方千米；城镇环境综合整治以黑臭水体治理和生活垃圾无害化处理为主要方向，治理黄田支渠、黄安寺河、姑婆山支渠、狮子岗河、南蛇塘、桃源渠共计14.45千米河段以及爱莲湖0.40平方千米黑臭水体，实施中心城区生活垃圾无害化处理，优先提升中心城区市容市貌。</w:t>
      </w:r>
    </w:p>
    <w:p>
      <w:pPr>
        <w:pStyle w:val="5"/>
        <w:numPr>
          <w:ilvl w:val="0"/>
          <w:numId w:val="5"/>
        </w:numPr>
        <w:spacing w:before="156" w:after="0" w:afterLines="0"/>
        <w:ind w:left="0" w:firstLine="640"/>
        <w:rPr>
          <w:lang w:val="zh-CN"/>
        </w:rPr>
      </w:pPr>
      <w:r>
        <w:rPr>
          <w:rFonts w:hint="eastAsia"/>
          <w:lang w:val="zh-CN"/>
        </w:rPr>
        <w:t>城市更新行动</w:t>
      </w:r>
    </w:p>
    <w:p>
      <w:pPr>
        <w:pStyle w:val="2"/>
        <w:ind w:firstLine="640"/>
        <w:rPr>
          <w:rFonts w:ascii="仿宋_GB2312" w:hAnsi="仿宋_GB2312" w:cs="仿宋_GB2312"/>
        </w:rPr>
      </w:pPr>
      <w:r>
        <w:rPr>
          <w:rFonts w:hint="eastAsia" w:ascii="仿宋_GB2312" w:hAnsi="仿宋_GB2312" w:cs="仿宋_GB2312"/>
        </w:rPr>
        <w:t>近期优先实施老城、西湾、贺街等城市更新重点区域的更新工作，</w:t>
      </w:r>
      <w:r>
        <w:rPr>
          <w:rFonts w:hint="eastAsia" w:ascii="仿宋_GB2312" w:hAnsi="仿宋_GB2312" w:cs="仿宋_GB2312"/>
          <w:bCs/>
          <w:szCs w:val="30"/>
        </w:rPr>
        <w:t>结合贺江旅游开发项目、八步区全民健身活动中心项目、八步区体育休闲公园项目等重点项目，有效推进城市更新工作</w:t>
      </w:r>
      <w:r>
        <w:rPr>
          <w:rFonts w:hint="eastAsia" w:ascii="仿宋_GB2312" w:hAnsi="仿宋_GB2312" w:cs="仿宋_GB2312"/>
        </w:rPr>
        <w:t>；有计划有重点地推进城市存量用地更新，重点推进平桂区西发街、电厂路一带以及八达东路以南、桂粤湘大道以东的现状低效或闲置工业仓储空间实施减量腾退，盘活存量土地，补齐城市功能短板；统筹老旧小区综合整治工作，重点推进老城区内老旧小区改造工作；完善棚户区和城中村改造，重点推进爱莲湖公园北侧现状城中村改造工作。</w:t>
      </w:r>
    </w:p>
    <w:p>
      <w:pPr>
        <w:pStyle w:val="5"/>
        <w:numPr>
          <w:ilvl w:val="0"/>
          <w:numId w:val="5"/>
        </w:numPr>
        <w:spacing w:before="156" w:after="0" w:afterLines="0"/>
        <w:ind w:left="0" w:firstLine="640"/>
        <w:rPr>
          <w:lang w:val="zh-CN"/>
        </w:rPr>
      </w:pPr>
      <w:r>
        <w:rPr>
          <w:rFonts w:hint="eastAsia"/>
          <w:lang w:val="zh-CN"/>
        </w:rPr>
        <w:t>重点市政基础设施建设行动</w:t>
      </w:r>
    </w:p>
    <w:p>
      <w:pPr>
        <w:pStyle w:val="2"/>
        <w:ind w:firstLine="640"/>
        <w:rPr>
          <w:rFonts w:ascii="仿宋_GB2312" w:hAnsi="仿宋_GB2312" w:cs="仿宋_GB2312"/>
        </w:rPr>
      </w:pPr>
      <w:r>
        <w:rPr>
          <w:rFonts w:hint="eastAsia" w:ascii="仿宋_GB2312" w:hAnsi="仿宋_GB2312" w:cs="仿宋_GB2312"/>
        </w:rPr>
        <w:t>扩建担杆岭水厂、旺高工业区水厂，新建莲塘水厂、城东水厂，实施大湾水库水源工程；扩建平桂污水处理厂、西湾污水处理厂，新建江南、城东、姑婆山污水处理厂；扩建道石220KV变电站，新建2—3座110KV变电站。建设4座调压站，在碳酸钙产业（西湾）片区合并建设贺州分输站、贺州市天然气门站、LNG气化站。加快老城区中低压管线建设，新城区随城市建设同步铺设燃气管网。</w:t>
      </w:r>
    </w:p>
    <w:p>
      <w:pPr>
        <w:pStyle w:val="5"/>
        <w:numPr>
          <w:ilvl w:val="0"/>
          <w:numId w:val="5"/>
        </w:numPr>
        <w:spacing w:before="156" w:after="0" w:afterLines="0"/>
        <w:ind w:left="0" w:firstLine="640"/>
        <w:rPr>
          <w:lang w:val="zh-CN"/>
        </w:rPr>
      </w:pPr>
      <w:r>
        <w:rPr>
          <w:rFonts w:hint="eastAsia"/>
          <w:lang w:val="zh-CN"/>
        </w:rPr>
        <w:t>公共服务设施建设行动</w:t>
      </w:r>
    </w:p>
    <w:p>
      <w:pPr>
        <w:pStyle w:val="2"/>
        <w:ind w:firstLine="640"/>
        <w:rPr>
          <w:rFonts w:ascii="仿宋_GB2312" w:hAnsi="仿宋_GB2312" w:cs="仿宋_GB2312"/>
        </w:rPr>
      </w:pPr>
      <w:r>
        <w:rPr>
          <w:rFonts w:hint="eastAsia" w:ascii="仿宋_GB2312" w:hAnsi="仿宋_GB2312" w:cs="仿宋_GB2312"/>
        </w:rPr>
        <w:t>新建市图书馆、博物馆、档案馆、自然资源信息中心、市少年宫、市科技馆、市群众艺术馆等文化设施；新建贺州市职业教育城、贺州第三高级中学、八步区信都高级中学、平桂区第二高级中学、贺州市专门学校、八步新城实验小学、江南实验小学等教育设施；新建贺州市体育训练中心、城东体育中心等体育设施；新建市人民医院城东分院、桂东人民医院贺州分院、贺州市第五人民医院（市精神专科医院）扩建项目、平桂区工人医院等医疗卫生设施；新建贺州市社会医养综合服务体系建设示范项目、贺州市第一、二养护院、贺州市华南民族养护院等医养结合项目。</w:t>
      </w:r>
    </w:p>
    <w:p>
      <w:pPr>
        <w:pStyle w:val="5"/>
        <w:numPr>
          <w:ilvl w:val="0"/>
          <w:numId w:val="5"/>
        </w:numPr>
        <w:spacing w:before="156" w:after="0" w:afterLines="0"/>
        <w:ind w:left="0" w:firstLine="640"/>
        <w:rPr>
          <w:lang w:val="zh-CN"/>
        </w:rPr>
      </w:pPr>
      <w:r>
        <w:rPr>
          <w:rFonts w:hint="eastAsia"/>
          <w:lang w:val="zh-CN"/>
        </w:rPr>
        <w:t>文化空间赋能行动</w:t>
      </w:r>
    </w:p>
    <w:p>
      <w:pPr>
        <w:pStyle w:val="2"/>
        <w:ind w:firstLine="640"/>
        <w:rPr>
          <w:rFonts w:eastAsia="仿宋"/>
        </w:rPr>
      </w:pPr>
      <w:r>
        <w:rPr>
          <w:rFonts w:hint="eastAsia" w:ascii="仿宋_GB2312" w:hAnsi="仿宋_GB2312" w:cs="仿宋_GB2312"/>
          <w:szCs w:val="22"/>
        </w:rPr>
        <w:t>持续推进和完善历史文化保护工作，保护历史文化遗产及其历史环境，保护和延续传统格局与传统风貌。建设潇贺古道历史文化遗产主题线路，积极推动国家历史文化名城申报</w:t>
      </w:r>
      <w:r>
        <w:rPr>
          <w:rFonts w:hint="eastAsia" w:ascii="仿宋_GB2312" w:hAnsi="仿宋_GB2312" w:cs="仿宋_GB2312"/>
        </w:rPr>
        <w:t>。</w:t>
      </w:r>
    </w:p>
    <w:p>
      <w:pPr>
        <w:pStyle w:val="4"/>
        <w:numPr>
          <w:ilvl w:val="0"/>
          <w:numId w:val="17"/>
        </w:numPr>
        <w:tabs>
          <w:tab w:val="left" w:pos="360"/>
        </w:tabs>
        <w:spacing w:line="460" w:lineRule="exact"/>
        <w:ind w:left="0" w:firstLine="0"/>
        <w:rPr>
          <w:rFonts w:ascii="Times New Roman" w:hAnsi="Times New Roman"/>
        </w:rPr>
      </w:pPr>
      <w:bookmarkStart w:id="622" w:name="_Toc8599"/>
      <w:bookmarkStart w:id="623" w:name="_Toc19707"/>
      <w:bookmarkStart w:id="624" w:name="_Toc32023"/>
      <w:bookmarkStart w:id="625" w:name="_Toc31742"/>
      <w:bookmarkStart w:id="626" w:name="_Toc213018300"/>
      <w:bookmarkStart w:id="627" w:name="_Toc25840"/>
      <w:bookmarkStart w:id="628" w:name="_Toc7544"/>
      <w:bookmarkStart w:id="629" w:name="_Toc11276"/>
      <w:bookmarkStart w:id="630" w:name="_Toc6982"/>
      <w:bookmarkStart w:id="631" w:name="_Toc18508_WPSOffice_Level2"/>
      <w:bookmarkStart w:id="632" w:name="_Toc6162"/>
      <w:bookmarkStart w:id="633" w:name="_Toc25710"/>
      <w:bookmarkStart w:id="634" w:name="_Toc82165597"/>
      <w:r>
        <w:rPr>
          <w:rFonts w:hint="eastAsia" w:ascii="Times New Roman" w:hAnsi="Times New Roman"/>
        </w:rPr>
        <w:t>完善支撑体系</w:t>
      </w:r>
      <w:bookmarkEnd w:id="622"/>
      <w:bookmarkEnd w:id="623"/>
      <w:bookmarkEnd w:id="624"/>
      <w:bookmarkEnd w:id="625"/>
      <w:bookmarkEnd w:id="626"/>
      <w:bookmarkEnd w:id="627"/>
      <w:bookmarkEnd w:id="628"/>
      <w:bookmarkEnd w:id="629"/>
      <w:bookmarkEnd w:id="630"/>
      <w:bookmarkEnd w:id="631"/>
      <w:bookmarkEnd w:id="632"/>
      <w:bookmarkEnd w:id="633"/>
    </w:p>
    <w:p>
      <w:pPr>
        <w:pStyle w:val="5"/>
        <w:numPr>
          <w:ilvl w:val="0"/>
          <w:numId w:val="5"/>
        </w:numPr>
        <w:spacing w:before="156" w:after="0" w:afterLines="0"/>
        <w:ind w:left="0" w:firstLine="640"/>
        <w:rPr>
          <w:lang w:val="zh-CN"/>
        </w:rPr>
      </w:pPr>
      <w:bookmarkStart w:id="635" w:name="_Toc101210082"/>
      <w:r>
        <w:rPr>
          <w:rFonts w:hint="eastAsia"/>
          <w:lang w:val="zh-CN"/>
        </w:rPr>
        <w:t>规划编制体系建设</w:t>
      </w:r>
    </w:p>
    <w:p>
      <w:pPr>
        <w:ind w:firstLine="640"/>
        <w:rPr>
          <w:rFonts w:ascii="仿宋_GB2312" w:hAnsi="仿宋_GB2312" w:cs="仿宋_GB2312"/>
        </w:rPr>
      </w:pPr>
      <w:r>
        <w:rPr>
          <w:rFonts w:hint="eastAsia" w:ascii="仿宋_GB2312" w:hAnsi="仿宋_GB2312" w:cs="仿宋_GB2312"/>
        </w:rPr>
        <w:t>以市级国土空间总体规划为统领，建立“三级三类”的国土空间规划总体框架。市级国土空间总体规划是市域国土空间保护、开发、利用、修复和指导全市各类建设的行动纲领；县级国土空间总体规划是落实市级国土空间总体规划，衔接相关专项规划，指导下层次乡镇国土空间规划、详细规划编制实施的依据。详细规划是实施国土空间用途管制、核发项目行政许可、开展各类开发建设和自然资源保护利用的法定依据。专项规划是总体规划在专业领域的细化和落实。</w:t>
      </w:r>
    </w:p>
    <w:p>
      <w:pPr>
        <w:pStyle w:val="5"/>
        <w:numPr>
          <w:ilvl w:val="0"/>
          <w:numId w:val="5"/>
        </w:numPr>
        <w:spacing w:before="156" w:after="0" w:afterLines="0"/>
        <w:ind w:left="0" w:firstLine="640"/>
        <w:rPr>
          <w:lang w:val="zh-CN"/>
        </w:rPr>
      </w:pPr>
      <w:r>
        <w:rPr>
          <w:rFonts w:hint="eastAsia"/>
          <w:lang w:val="zh-CN"/>
        </w:rPr>
        <w:t>规划审批体系建设</w:t>
      </w:r>
      <w:bookmarkEnd w:id="635"/>
    </w:p>
    <w:p>
      <w:pPr>
        <w:ind w:firstLine="640"/>
        <w:rPr>
          <w:rFonts w:ascii="仿宋_GB2312" w:hAnsi="仿宋_GB2312" w:cs="仿宋_GB2312"/>
        </w:rPr>
      </w:pPr>
      <w:r>
        <w:rPr>
          <w:rFonts w:hint="eastAsia" w:ascii="仿宋_GB2312" w:hAnsi="仿宋_GB2312" w:cs="仿宋_GB2312"/>
        </w:rPr>
        <w:t>为推进空间治理能力现代化，空间规划应转变发展理念，依据央地事权划分，理顺不同层级治理的主体和手段，结合空间治理的事权划分和各级管控的重点，明确不同层级治理主体对于空间规划编制、审批和修改的权限；明确对应的治理对象和内容，建立层级与治理体系相对应、功能与治理事权相匹配，衔接统一、运作高效的空间规划体系。</w:t>
      </w:r>
    </w:p>
    <w:p>
      <w:pPr>
        <w:pStyle w:val="5"/>
        <w:numPr>
          <w:ilvl w:val="0"/>
          <w:numId w:val="5"/>
        </w:numPr>
        <w:spacing w:before="156" w:after="0" w:afterLines="0"/>
        <w:ind w:left="0" w:firstLine="640"/>
        <w:rPr>
          <w:lang w:val="zh-CN"/>
        </w:rPr>
      </w:pPr>
      <w:bookmarkStart w:id="636" w:name="_Toc101210083"/>
      <w:r>
        <w:rPr>
          <w:rFonts w:hint="eastAsia"/>
          <w:lang w:val="zh-CN"/>
        </w:rPr>
        <w:t>法规政策体系建设</w:t>
      </w:r>
      <w:bookmarkEnd w:id="636"/>
    </w:p>
    <w:p>
      <w:pPr>
        <w:ind w:firstLine="640"/>
        <w:rPr>
          <w:rFonts w:ascii="仿宋_GB2312" w:hAnsi="仿宋_GB2312" w:cs="仿宋_GB2312"/>
        </w:rPr>
      </w:pPr>
      <w:r>
        <w:rPr>
          <w:rFonts w:hint="eastAsia" w:ascii="仿宋_GB2312" w:hAnsi="仿宋_GB2312" w:cs="仿宋_GB2312"/>
        </w:rPr>
        <w:t>以全市“一张蓝图”为基础，建立“多规合一”的规划实施及管理体系，支持空间治理信息共享及业务协同办理的工作平台，并作为“互联网+政务服务”平台重要组成部分，完成市本级建设项目的一次性审批和重大区域项目的在线协同审批，实现各部门间信息互联互通，协同协力、共建共享，实现城市精细化管理。</w:t>
      </w:r>
    </w:p>
    <w:p>
      <w:pPr>
        <w:ind w:firstLine="640"/>
        <w:rPr>
          <w:rFonts w:ascii="仿宋_GB2312" w:hAnsi="仿宋_GB2312" w:cs="仿宋_GB2312"/>
        </w:rPr>
      </w:pPr>
      <w:r>
        <w:rPr>
          <w:rFonts w:hint="eastAsia" w:ascii="仿宋_GB2312" w:hAnsi="仿宋_GB2312" w:cs="仿宋_GB2312"/>
        </w:rPr>
        <w:t>强化国土空间总体规划的权威性，凡在规划范围内的土地利用和各项建设活动，均应符合本规划的有关要求；加强国土空间规划法规政策体系建设，尤其加强对于永久基本农田、生态保护红线、城镇开发边界三条控制线和城市绿线、城市蓝线、城市紫线等城市控制线的立法控制。</w:t>
      </w:r>
    </w:p>
    <w:p>
      <w:pPr>
        <w:pStyle w:val="5"/>
        <w:numPr>
          <w:ilvl w:val="0"/>
          <w:numId w:val="5"/>
        </w:numPr>
        <w:spacing w:before="156" w:after="0" w:afterLines="0"/>
        <w:ind w:left="0" w:firstLine="640"/>
        <w:rPr>
          <w:lang w:val="zh-CN"/>
        </w:rPr>
      </w:pPr>
      <w:bookmarkStart w:id="637" w:name="_Toc101210084"/>
      <w:r>
        <w:rPr>
          <w:rFonts w:hint="eastAsia"/>
          <w:lang w:val="zh-CN"/>
        </w:rPr>
        <w:t>技术标准体系建设</w:t>
      </w:r>
      <w:bookmarkEnd w:id="637"/>
    </w:p>
    <w:p>
      <w:pPr>
        <w:ind w:firstLine="640"/>
        <w:rPr>
          <w:rFonts w:ascii="仿宋_GB2312" w:hAnsi="仿宋_GB2312" w:cs="仿宋_GB2312"/>
        </w:rPr>
      </w:pPr>
      <w:r>
        <w:rPr>
          <w:rFonts w:hint="eastAsia" w:ascii="仿宋_GB2312" w:hAnsi="仿宋_GB2312" w:cs="仿宋_GB2312"/>
        </w:rPr>
        <w:t>实施“多规合一”后的国土空间规划需要融合主体功能区规划、土地利用规划和城乡规划等空间规划的优势。为落实国家发展的战略方针，切实传导国土空间各要素在指标控制与空间利用效率方面的管控要求，需结合各个层级空间治理的管控重点，建立一套自上而下的、差异化的、定性与定量相结合的指标体系，从技术支撑方面探索国土空间分类与管控的标准规范，</w:t>
      </w:r>
      <w:bookmarkEnd w:id="634"/>
      <w:bookmarkStart w:id="638" w:name="_Toc29221"/>
      <w:bookmarkStart w:id="639" w:name="_Toc23520"/>
      <w:bookmarkStart w:id="640" w:name="_Toc20753"/>
      <w:bookmarkStart w:id="641" w:name="_Toc17930"/>
      <w:bookmarkStart w:id="642" w:name="_Toc29833"/>
      <w:bookmarkStart w:id="643" w:name="_Toc30665"/>
      <w:bookmarkStart w:id="644" w:name="_Toc1141"/>
      <w:bookmarkStart w:id="645" w:name="_Toc28168_WPSOffice_Level2"/>
      <w:bookmarkStart w:id="646" w:name="_Toc615"/>
      <w:bookmarkStart w:id="647" w:name="_Toc3189"/>
      <w:bookmarkStart w:id="648" w:name="_Toc26497"/>
      <w:r>
        <w:rPr>
          <w:rFonts w:hint="eastAsia" w:ascii="仿宋_GB2312" w:hAnsi="仿宋_GB2312" w:cs="仿宋_GB2312"/>
        </w:rPr>
        <w:t>切实提高规划成果的可操作性。</w:t>
      </w:r>
    </w:p>
    <w:p>
      <w:pPr>
        <w:ind w:firstLine="640"/>
      </w:pPr>
      <w:r>
        <w:rPr>
          <w:rFonts w:hint="eastAsia"/>
        </w:rPr>
        <w:t>加强规划实施监督</w:t>
      </w:r>
      <w:bookmarkEnd w:id="638"/>
      <w:bookmarkEnd w:id="639"/>
      <w:bookmarkEnd w:id="640"/>
      <w:bookmarkEnd w:id="641"/>
      <w:bookmarkEnd w:id="642"/>
      <w:bookmarkEnd w:id="643"/>
      <w:bookmarkEnd w:id="644"/>
      <w:bookmarkEnd w:id="645"/>
      <w:bookmarkEnd w:id="646"/>
      <w:bookmarkEnd w:id="647"/>
      <w:bookmarkEnd w:id="648"/>
    </w:p>
    <w:p>
      <w:pPr>
        <w:pStyle w:val="5"/>
        <w:numPr>
          <w:ilvl w:val="0"/>
          <w:numId w:val="5"/>
        </w:numPr>
        <w:spacing w:before="156" w:after="0" w:afterLines="0"/>
        <w:ind w:left="0" w:firstLine="640"/>
        <w:rPr>
          <w:lang w:val="zh-CN"/>
        </w:rPr>
      </w:pPr>
      <w:bookmarkStart w:id="649" w:name="_Toc101210086"/>
      <w:r>
        <w:rPr>
          <w:rFonts w:hint="eastAsia"/>
          <w:lang w:val="zh-CN"/>
        </w:rPr>
        <w:t>规划实施机制</w:t>
      </w:r>
      <w:bookmarkEnd w:id="649"/>
    </w:p>
    <w:p>
      <w:pPr>
        <w:ind w:firstLine="643"/>
        <w:rPr>
          <w:rFonts w:ascii="仿宋_GB2312" w:hAnsi="仿宋_GB2312" w:cs="仿宋_GB2312"/>
        </w:rPr>
      </w:pPr>
      <w:r>
        <w:rPr>
          <w:rFonts w:hint="eastAsia" w:ascii="仿宋_GB2312" w:hAnsi="仿宋_GB2312" w:cs="仿宋_GB2312"/>
          <w:b/>
          <w:bCs/>
        </w:rPr>
        <w:t>明确规划督察的内容和监查重点。</w:t>
      </w:r>
      <w:r>
        <w:rPr>
          <w:rFonts w:hint="eastAsia" w:ascii="仿宋_GB2312" w:hAnsi="仿宋_GB2312" w:cs="仿宋_GB2312"/>
        </w:rPr>
        <w:t>建立党委领导、政府负责、部门协同、公众参与、上下联动的工作模式重点考核、督查各级各类控制线划定、约束性指标执行、是否依规依法行政、有无违反规划控制要求进行开发建设等情况。对规划实施情况开展动态监测、评估和预警，建立长效机制。</w:t>
      </w:r>
    </w:p>
    <w:p>
      <w:pPr>
        <w:pStyle w:val="5"/>
        <w:numPr>
          <w:ilvl w:val="0"/>
          <w:numId w:val="5"/>
        </w:numPr>
        <w:spacing w:before="156" w:after="0" w:afterLines="0"/>
        <w:ind w:left="0" w:firstLine="640"/>
        <w:rPr>
          <w:lang w:val="zh-CN"/>
        </w:rPr>
      </w:pPr>
      <w:bookmarkStart w:id="650" w:name="_Toc101210087"/>
      <w:r>
        <w:rPr>
          <w:rFonts w:hint="eastAsia"/>
          <w:lang w:val="zh-CN"/>
        </w:rPr>
        <w:t>规划实施政策</w:t>
      </w:r>
      <w:bookmarkEnd w:id="650"/>
    </w:p>
    <w:p>
      <w:pPr>
        <w:ind w:firstLine="643"/>
        <w:rPr>
          <w:rFonts w:ascii="仿宋_GB2312" w:hAnsi="仿宋_GB2312" w:cs="仿宋_GB2312"/>
        </w:rPr>
      </w:pPr>
      <w:r>
        <w:rPr>
          <w:rFonts w:hint="eastAsia" w:ascii="仿宋_GB2312" w:hAnsi="仿宋_GB2312" w:cs="仿宋_GB2312"/>
          <w:b/>
          <w:bCs/>
        </w:rPr>
        <w:t>差异化制定规划配套政策。</w:t>
      </w:r>
      <w:r>
        <w:rPr>
          <w:rFonts w:hint="eastAsia" w:ascii="仿宋_GB2312" w:hAnsi="仿宋_GB2312" w:cs="仿宋_GB2312"/>
        </w:rPr>
        <w:t>针对不同主体功能区制定不同配套政策，实施差异化财政转移支付政策、政府预算内投资政策、产业准入政策、建设用地指标配置和绩效评价体系。完善不同主体功能区转移支付制度，引导重大产业向城市化地区布局，加大重点生态功能区生态补偿投入，实施产业负面清单。新增建设用地指标分配与主体功能区挂钩，按城市化地区、农产品主产区、重点生态功能区依次递减。</w:t>
      </w:r>
    </w:p>
    <w:p>
      <w:pPr>
        <w:pStyle w:val="2"/>
        <w:ind w:firstLine="643"/>
        <w:rPr>
          <w:rFonts w:ascii="仿宋_GB2312" w:hAnsi="仿宋_GB2312" w:cs="仿宋_GB2312"/>
        </w:rPr>
      </w:pPr>
      <w:r>
        <w:rPr>
          <w:rFonts w:hint="eastAsia" w:ascii="仿宋_GB2312" w:hAnsi="仿宋_GB2312" w:cs="仿宋_GB2312"/>
          <w:b/>
          <w:bCs/>
        </w:rPr>
        <w:t>制定城市更新实施保障政策。</w:t>
      </w:r>
      <w:r>
        <w:rPr>
          <w:rFonts w:hint="eastAsia" w:ascii="仿宋_GB2312" w:hAnsi="仿宋_GB2312" w:cs="仿宋_GB2312"/>
        </w:rPr>
        <w:t>制定关于城市更新项目实施过程涉及的土地、资金、项目审批等相关政策。设立城市更新专项资金，按年度纳入预算，资金来源主要包括土地出让收入和财政一般公共预算。完善社会资本参与的政策环境，探索最大程度满足不同利益的参与模式，培育市场化的社会资本引入渠道和空间。实行“多主体申报、政府统筹审批”的方式，简化审批流程，设置城市更新专项审批绿色通道，提高工作效率。</w:t>
      </w:r>
    </w:p>
    <w:p>
      <w:pPr>
        <w:pStyle w:val="5"/>
        <w:numPr>
          <w:ilvl w:val="0"/>
          <w:numId w:val="5"/>
        </w:numPr>
        <w:spacing w:before="156" w:after="0" w:afterLines="0"/>
        <w:ind w:left="0" w:firstLine="640"/>
        <w:rPr>
          <w:lang w:val="zh-CN"/>
        </w:rPr>
      </w:pPr>
      <w:bookmarkStart w:id="651" w:name="_Toc101210088"/>
      <w:r>
        <w:rPr>
          <w:rFonts w:hint="eastAsia"/>
          <w:lang w:val="zh-CN"/>
        </w:rPr>
        <w:t>国土空间规划“一张图</w:t>
      </w:r>
      <w:bookmarkEnd w:id="651"/>
      <w:r>
        <w:rPr>
          <w:rFonts w:hint="eastAsia"/>
          <w:lang w:val="zh-CN"/>
        </w:rPr>
        <w:t>”</w:t>
      </w:r>
    </w:p>
    <w:p>
      <w:pPr>
        <w:ind w:firstLine="643"/>
        <w:rPr>
          <w:rFonts w:ascii="仿宋_GB2312" w:hAnsi="仿宋_GB2312" w:cs="仿宋_GB2312"/>
        </w:rPr>
      </w:pPr>
      <w:r>
        <w:rPr>
          <w:rFonts w:hint="eastAsia" w:ascii="仿宋_GB2312" w:hAnsi="仿宋_GB2312" w:cs="仿宋_GB2312"/>
          <w:b/>
          <w:bCs/>
        </w:rPr>
        <w:t>以自然资源调查监测数据为基础支撑，建立国土空间规划数据库。</w:t>
      </w:r>
      <w:r>
        <w:rPr>
          <w:rFonts w:hint="eastAsia" w:ascii="仿宋_GB2312" w:hAnsi="仿宋_GB2312" w:cs="仿宋_GB2312"/>
        </w:rPr>
        <w:t>建立各部门共建共享共用、全市统一、市县联动的国土空间基础信息平台，并做好与自治区平台对接，积极推动与其他部门信息平台横向联通和数据共享。基于国土空间基础信息平台，同步建设国土空间规划“一张图”实施监督平台，建立“实施—监测—评估—维护”方式，为城市体检评估和规划全生命周期管理奠定基础，借助现代化的信息管理手段提升规划的适应性，通过多种形式建立起对总体规划实施进行社会监督的工作机制。</w:t>
      </w:r>
    </w:p>
    <w:p>
      <w:pPr>
        <w:pStyle w:val="5"/>
        <w:numPr>
          <w:ilvl w:val="0"/>
          <w:numId w:val="5"/>
        </w:numPr>
        <w:spacing w:before="156" w:after="0" w:afterLines="0"/>
        <w:ind w:left="0" w:firstLine="640"/>
        <w:rPr>
          <w:lang w:val="zh-CN"/>
        </w:rPr>
      </w:pPr>
      <w:bookmarkStart w:id="652" w:name="_Toc101210089"/>
      <w:r>
        <w:rPr>
          <w:rFonts w:hint="eastAsia"/>
          <w:lang w:val="zh-CN"/>
        </w:rPr>
        <w:t>公众参与</w:t>
      </w:r>
      <w:bookmarkEnd w:id="652"/>
    </w:p>
    <w:p>
      <w:pPr>
        <w:ind w:firstLine="643"/>
        <w:rPr>
          <w:rFonts w:ascii="仿宋_GB2312" w:hAnsi="仿宋_GB2312" w:cs="仿宋_GB2312"/>
        </w:rPr>
      </w:pPr>
      <w:bookmarkStart w:id="653" w:name="_Toc128644248"/>
      <w:r>
        <w:rPr>
          <w:rFonts w:hint="eastAsia" w:ascii="仿宋_GB2312" w:hAnsi="仿宋_GB2312" w:cs="仿宋_GB2312"/>
          <w:b/>
          <w:bCs/>
        </w:rPr>
        <w:t>引导公众参与，发挥舆论监督和公众监督作用。</w:t>
      </w:r>
      <w:r>
        <w:rPr>
          <w:rFonts w:hint="eastAsia" w:ascii="仿宋_GB2312" w:hAnsi="仿宋_GB2312" w:cs="仿宋_GB2312"/>
        </w:rPr>
        <w:t>加强对国土空间规划的宣传，将公众参与引入规划编制和管理的全过程，提高全社会对总体规划及实施重要性的认识，增强规划意识，提高维护和执行规划的自觉性，共同推进规划的实施。使广大干部群众了解规划、遵守规划、参与规划、监督实施规划。</w:t>
      </w:r>
      <w:bookmarkEnd w:id="653"/>
      <w:bookmarkStart w:id="654" w:name="_Toc9006"/>
      <w:bookmarkStart w:id="655" w:name="_Toc31294"/>
      <w:bookmarkStart w:id="656" w:name="_Toc23994"/>
      <w:bookmarkStart w:id="657" w:name="_Toc23682"/>
      <w:bookmarkStart w:id="658" w:name="_Toc6768"/>
      <w:bookmarkStart w:id="659" w:name="_Toc32012"/>
      <w:bookmarkStart w:id="660" w:name="_Toc23697"/>
    </w:p>
    <w:p>
      <w:pPr>
        <w:pStyle w:val="5"/>
        <w:numPr>
          <w:ilvl w:val="0"/>
          <w:numId w:val="5"/>
        </w:numPr>
        <w:spacing w:before="156" w:after="0" w:afterLines="0"/>
        <w:ind w:left="0" w:firstLine="640"/>
        <w:rPr>
          <w:lang w:val="zh-CN"/>
        </w:rPr>
      </w:pPr>
      <w:r>
        <w:rPr>
          <w:rFonts w:hint="eastAsia"/>
          <w:lang w:val="zh-CN"/>
        </w:rPr>
        <w:t>附则</w:t>
      </w:r>
    </w:p>
    <w:p>
      <w:pPr>
        <w:pStyle w:val="2"/>
        <w:ind w:firstLine="640"/>
        <w:rPr>
          <w:rFonts w:ascii="仿宋_GB2312" w:hAnsi="仿宋_GB2312" w:cs="仿宋_GB2312"/>
        </w:rPr>
      </w:pPr>
      <w:r>
        <w:rPr>
          <w:rFonts w:hint="eastAsia" w:ascii="仿宋_GB2312" w:hAnsi="仿宋_GB2312" w:cs="仿宋_GB2312"/>
        </w:rPr>
        <w:t>本规划自通过广西壮族自治区人民政府批复之日起，具有法律效力，《贺州市城市总体规划（2016—2035年）》《贺州市土地利用总体规划（2006—2020年）》同时废止。</w:t>
      </w:r>
    </w:p>
    <w:p>
      <w:pPr>
        <w:pStyle w:val="2"/>
        <w:ind w:firstLine="640"/>
        <w:rPr>
          <w:rFonts w:ascii="仿宋_GB2312" w:hAnsi="仿宋_GB2312" w:cs="仿宋_GB2312"/>
        </w:rPr>
      </w:pPr>
      <w:r>
        <w:rPr>
          <w:rFonts w:hint="eastAsia" w:ascii="仿宋_GB2312" w:hAnsi="仿宋_GB2312" w:cs="仿宋_GB2312"/>
        </w:rPr>
        <w:t>本规划解释权属于贺州市自然资源主管部门。本规划一经批准，就具有法律效力，必须严格执行，任何单位和个人不得随意修改、违规变更，对规划的调整必须经过严格程序审批，对随意更改规划或者不遵循规划执行的违法违规行为要严肃查处，坚决防止换一届领导改一次规划，做到“一张蓝图”干到底；严格落实“项目跟着规划走，要素跟着项目走”的规划管理要求和要素配置要求，与空间利用相关的各项政策、计划的制定，均应与本规划相协调。</w:t>
      </w:r>
    </w:p>
    <w:p>
      <w:pPr>
        <w:pStyle w:val="2"/>
        <w:ind w:firstLine="640"/>
        <w:rPr>
          <w:rFonts w:ascii="仿宋_GB2312" w:hAnsi="仿宋_GB2312" w:cs="仿宋_GB2312"/>
        </w:rPr>
      </w:pPr>
      <w:r>
        <w:rPr>
          <w:rFonts w:hint="eastAsia" w:ascii="仿宋_GB2312" w:hAnsi="仿宋_GB2312" w:cs="仿宋_GB2312"/>
        </w:rPr>
        <w:t>规划条文中下划线加粗字体部分为强制性内容，违反规划强制性内容进行建设的，按照严重影响国土空间规划的行为，依法进行查处。调整国土空间总体规划强制性内容的，贺州市人民政府必须组织论证，就调整的必要性向原规划审批机关提出专题报告，经审查批准后方可进行调整。调整后的总体规划，必须依据法定程序重新审批。</w:t>
      </w:r>
    </w:p>
    <w:bookmarkEnd w:id="654"/>
    <w:bookmarkEnd w:id="655"/>
    <w:bookmarkEnd w:id="656"/>
    <w:bookmarkEnd w:id="657"/>
    <w:bookmarkEnd w:id="658"/>
    <w:bookmarkEnd w:id="659"/>
    <w:bookmarkEnd w:id="660"/>
    <w:p>
      <w:pPr>
        <w:spacing w:line="240" w:lineRule="auto"/>
        <w:ind w:firstLine="0" w:firstLineChars="0"/>
        <w:jc w:val="left"/>
        <w:rPr>
          <w:rFonts w:ascii="仿宋_GB2312" w:hAnsi="仿宋_GB2312" w:cs="仿宋_GB2312"/>
          <w:szCs w:val="30"/>
        </w:rPr>
      </w:pPr>
    </w:p>
    <w:sectPr>
      <w:pgSz w:w="11906" w:h="16838"/>
      <w:pgMar w:top="1418" w:right="1474" w:bottom="1985" w:left="1588" w:header="0"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Arial"/>
    <w:panose1 w:val="020F030202020403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10" w:usb3="00000000" w:csb0="0004009F" w:csb1="00000000"/>
  </w:font>
  <w:font w:name="FZXBSJW--GB1-0">
    <w:altName w:val="仿宋"/>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5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78895"/>
    </w:sdtPr>
    <w:sdtContent>
      <w:p>
        <w:pPr>
          <w:pStyle w:val="16"/>
          <w:ind w:firstLine="0" w:firstLineChars="0"/>
          <w:jc w:val="center"/>
        </w:pPr>
        <w:r>
          <w:fldChar w:fldCharType="begin"/>
        </w:r>
        <w:r>
          <w:instrText xml:space="preserve">PAGE   \* MERGEFORMAT</w:instrText>
        </w:r>
        <w:r>
          <w:fldChar w:fldCharType="separate"/>
        </w:r>
        <w:r>
          <w:rPr>
            <w:lang w:val="zh-CN"/>
          </w:rPr>
          <w:t>IV</w:t>
        </w:r>
        <w:r>
          <w:fldChar w:fldCharType="end"/>
        </w:r>
      </w:p>
    </w:sdtContent>
  </w:sdt>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827844"/>
    </w:sdtPr>
    <w:sdtContent>
      <w:p>
        <w:pPr>
          <w:pStyle w:val="16"/>
          <w:ind w:firstLine="0" w:firstLineChars="0"/>
          <w:jc w:val="center"/>
        </w:pPr>
        <w:r>
          <w:fldChar w:fldCharType="begin"/>
        </w:r>
        <w:r>
          <w:instrText xml:space="preserve">PAGE   \* MERGEFORMAT</w:instrText>
        </w:r>
        <w:r>
          <w:fldChar w:fldCharType="separate"/>
        </w:r>
        <w:r>
          <w:rPr>
            <w:lang w:val="zh-CN"/>
          </w:rPr>
          <w:t>116</w:t>
        </w:r>
        <w:r>
          <w:fldChar w:fldCharType="end"/>
        </w:r>
      </w:p>
    </w:sdtContent>
  </w:sdt>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84" w:firstLineChars="3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5E3C45"/>
    <w:multiLevelType w:val="multilevel"/>
    <w:tmpl w:val="9A5E3C45"/>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F1238CF"/>
    <w:multiLevelType w:val="multilevel"/>
    <w:tmpl w:val="9F1238CF"/>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65AA04C"/>
    <w:multiLevelType w:val="multilevel"/>
    <w:tmpl w:val="A65AA04C"/>
    <w:lvl w:ilvl="0" w:tentative="0">
      <w:start w:val="1"/>
      <w:numFmt w:val="chineseCounting"/>
      <w:lvlText w:val="第%1节"/>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742ADEC"/>
    <w:multiLevelType w:val="multilevel"/>
    <w:tmpl w:val="A742ADEC"/>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B1E5752"/>
    <w:multiLevelType w:val="multilevel"/>
    <w:tmpl w:val="AB1E5752"/>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AD514FA7"/>
    <w:multiLevelType w:val="multilevel"/>
    <w:tmpl w:val="AD514FA7"/>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C88DCC66"/>
    <w:multiLevelType w:val="multilevel"/>
    <w:tmpl w:val="C88DCC66"/>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3"/>
    <w:multiLevelType w:val="multilevel"/>
    <w:tmpl w:val="00000003"/>
    <w:lvl w:ilvl="0" w:tentative="0">
      <w:start w:val="1"/>
      <w:numFmt w:val="none"/>
      <w:pStyle w:val="66"/>
      <w:lvlText w:val="表"/>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8BD7707"/>
    <w:multiLevelType w:val="multilevel"/>
    <w:tmpl w:val="18BD7707"/>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7EE9A4"/>
    <w:multiLevelType w:val="multilevel"/>
    <w:tmpl w:val="237EE9A4"/>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495F7A"/>
    <w:multiLevelType w:val="multilevel"/>
    <w:tmpl w:val="27495F7A"/>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A0BD0F2"/>
    <w:multiLevelType w:val="singleLevel"/>
    <w:tmpl w:val="2A0BD0F2"/>
    <w:lvl w:ilvl="0" w:tentative="0">
      <w:start w:val="1"/>
      <w:numFmt w:val="chineseCounting"/>
      <w:suff w:val="space"/>
      <w:lvlText w:val="第%1章"/>
      <w:lvlJc w:val="left"/>
      <w:rPr>
        <w:rFonts w:hint="eastAsia"/>
      </w:rPr>
    </w:lvl>
  </w:abstractNum>
  <w:abstractNum w:abstractNumId="12">
    <w:nsid w:val="2CF9701B"/>
    <w:multiLevelType w:val="multilevel"/>
    <w:tmpl w:val="2CF9701B"/>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1A92EF"/>
    <w:multiLevelType w:val="multilevel"/>
    <w:tmpl w:val="361A92EF"/>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C672D3E"/>
    <w:multiLevelType w:val="multilevel"/>
    <w:tmpl w:val="3C672D3E"/>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67C67A6"/>
    <w:multiLevelType w:val="multilevel"/>
    <w:tmpl w:val="667C67A6"/>
    <w:lvl w:ilvl="0" w:tentative="0">
      <w:start w:val="1"/>
      <w:numFmt w:val="decimal"/>
      <w:pStyle w:val="102"/>
      <w:lvlText w:val="第%1条 "/>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77431D8C"/>
    <w:multiLevelType w:val="multilevel"/>
    <w:tmpl w:val="77431D8C"/>
    <w:lvl w:ilvl="0" w:tentative="0">
      <w:start w:val="1"/>
      <w:numFmt w:val="decimal"/>
      <w:lvlText w:val="第%1条"/>
      <w:lvlJc w:val="left"/>
      <w:pPr>
        <w:ind w:left="562" w:hanging="420"/>
      </w:pPr>
      <w:rPr>
        <w:rFonts w:hint="default" w:ascii="楷体_GB2312" w:hAnsi="楷体_GB2312" w:eastAsia="楷体_GB2312" w:cs="楷体_GB2312"/>
      </w:rPr>
    </w:lvl>
    <w:lvl w:ilvl="1" w:tentative="0">
      <w:start w:val="1"/>
      <w:numFmt w:val="lowerLetter"/>
      <w:lvlText w:val="%2)"/>
      <w:lvlJc w:val="left"/>
      <w:pPr>
        <w:ind w:left="2038" w:hanging="420"/>
      </w:pPr>
    </w:lvl>
    <w:lvl w:ilvl="2" w:tentative="0">
      <w:start w:val="1"/>
      <w:numFmt w:val="lowerRoman"/>
      <w:lvlText w:val="%3."/>
      <w:lvlJc w:val="right"/>
      <w:pPr>
        <w:ind w:left="2458" w:hanging="420"/>
      </w:pPr>
    </w:lvl>
    <w:lvl w:ilvl="3" w:tentative="0">
      <w:start w:val="1"/>
      <w:numFmt w:val="decimal"/>
      <w:lvlText w:val="%4."/>
      <w:lvlJc w:val="left"/>
      <w:pPr>
        <w:ind w:left="2878" w:hanging="420"/>
      </w:pPr>
    </w:lvl>
    <w:lvl w:ilvl="4" w:tentative="0">
      <w:start w:val="1"/>
      <w:numFmt w:val="lowerLetter"/>
      <w:lvlText w:val="%5)"/>
      <w:lvlJc w:val="left"/>
      <w:pPr>
        <w:ind w:left="3298" w:hanging="420"/>
      </w:pPr>
    </w:lvl>
    <w:lvl w:ilvl="5" w:tentative="0">
      <w:start w:val="1"/>
      <w:numFmt w:val="lowerRoman"/>
      <w:lvlText w:val="%6."/>
      <w:lvlJc w:val="right"/>
      <w:pPr>
        <w:ind w:left="3718" w:hanging="420"/>
      </w:pPr>
    </w:lvl>
    <w:lvl w:ilvl="6" w:tentative="0">
      <w:start w:val="1"/>
      <w:numFmt w:val="decimal"/>
      <w:lvlText w:val="%7."/>
      <w:lvlJc w:val="left"/>
      <w:pPr>
        <w:ind w:left="4138" w:hanging="420"/>
      </w:pPr>
    </w:lvl>
    <w:lvl w:ilvl="7" w:tentative="0">
      <w:start w:val="1"/>
      <w:numFmt w:val="lowerLetter"/>
      <w:lvlText w:val="%8)"/>
      <w:lvlJc w:val="left"/>
      <w:pPr>
        <w:ind w:left="4558" w:hanging="420"/>
      </w:pPr>
    </w:lvl>
    <w:lvl w:ilvl="8" w:tentative="0">
      <w:start w:val="1"/>
      <w:numFmt w:val="lowerRoman"/>
      <w:lvlText w:val="%9."/>
      <w:lvlJc w:val="right"/>
      <w:pPr>
        <w:ind w:left="4978"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1"/>
  </w:num>
  <w:num w:numId="5">
    <w:abstractNumId w:val="16"/>
  </w:num>
  <w:num w:numId="6">
    <w:abstractNumId w:val="14"/>
  </w:num>
  <w:num w:numId="7">
    <w:abstractNumId w:val="5"/>
  </w:num>
  <w:num w:numId="8">
    <w:abstractNumId w:val="9"/>
  </w:num>
  <w:num w:numId="9">
    <w:abstractNumId w:val="4"/>
  </w:num>
  <w:num w:numId="10">
    <w:abstractNumId w:val="12"/>
  </w:num>
  <w:num w:numId="11">
    <w:abstractNumId w:val="2"/>
  </w:num>
  <w:num w:numId="12">
    <w:abstractNumId w:val="3"/>
  </w:num>
  <w:num w:numId="13">
    <w:abstractNumId w:val="0"/>
  </w:num>
  <w:num w:numId="14">
    <w:abstractNumId w:val="6"/>
  </w:num>
  <w:num w:numId="15">
    <w:abstractNumId w:val="13"/>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documentProtection w:enforcement="0"/>
  <w:defaultTabStop w:val="376"/>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iOWZmMWYwNTAzMjQxMTU2MzNmY2RlNDg1NDNhOTIifQ=="/>
    <w:docVar w:name="KSO_WPS_MARK_KEY" w:val="8ab993bb-4902-41ee-b62a-4172a8f0d21d"/>
  </w:docVars>
  <w:rsids>
    <w:rsidRoot w:val="00560EC2"/>
    <w:rsid w:val="00000E23"/>
    <w:rsid w:val="00005F7B"/>
    <w:rsid w:val="0000768E"/>
    <w:rsid w:val="00007CB3"/>
    <w:rsid w:val="00007F2A"/>
    <w:rsid w:val="00011B0D"/>
    <w:rsid w:val="000124AC"/>
    <w:rsid w:val="00014BC0"/>
    <w:rsid w:val="00014F02"/>
    <w:rsid w:val="000155F3"/>
    <w:rsid w:val="0001703B"/>
    <w:rsid w:val="00017C93"/>
    <w:rsid w:val="00020647"/>
    <w:rsid w:val="00020EE9"/>
    <w:rsid w:val="000351FE"/>
    <w:rsid w:val="00036068"/>
    <w:rsid w:val="00036437"/>
    <w:rsid w:val="00041419"/>
    <w:rsid w:val="00041C47"/>
    <w:rsid w:val="00043C45"/>
    <w:rsid w:val="000450BF"/>
    <w:rsid w:val="0004549B"/>
    <w:rsid w:val="0004772B"/>
    <w:rsid w:val="00050B9E"/>
    <w:rsid w:val="00052F6F"/>
    <w:rsid w:val="0005652E"/>
    <w:rsid w:val="000617E2"/>
    <w:rsid w:val="0006326B"/>
    <w:rsid w:val="00065219"/>
    <w:rsid w:val="0006626A"/>
    <w:rsid w:val="00070FC2"/>
    <w:rsid w:val="000711FA"/>
    <w:rsid w:val="000712C6"/>
    <w:rsid w:val="00073039"/>
    <w:rsid w:val="00076EC7"/>
    <w:rsid w:val="00084D1C"/>
    <w:rsid w:val="00086187"/>
    <w:rsid w:val="000865AF"/>
    <w:rsid w:val="00090B96"/>
    <w:rsid w:val="00091AD5"/>
    <w:rsid w:val="00095BDF"/>
    <w:rsid w:val="00096700"/>
    <w:rsid w:val="000A0190"/>
    <w:rsid w:val="000A107B"/>
    <w:rsid w:val="000A2299"/>
    <w:rsid w:val="000A26CD"/>
    <w:rsid w:val="000B0252"/>
    <w:rsid w:val="000B3370"/>
    <w:rsid w:val="000B59DE"/>
    <w:rsid w:val="000B71A9"/>
    <w:rsid w:val="000C073E"/>
    <w:rsid w:val="000C0808"/>
    <w:rsid w:val="000C094D"/>
    <w:rsid w:val="000C2843"/>
    <w:rsid w:val="000C2EC0"/>
    <w:rsid w:val="000D3054"/>
    <w:rsid w:val="000D3E6A"/>
    <w:rsid w:val="000D3ECA"/>
    <w:rsid w:val="000D412C"/>
    <w:rsid w:val="000D7F28"/>
    <w:rsid w:val="000E0E35"/>
    <w:rsid w:val="000E2F15"/>
    <w:rsid w:val="000E40FC"/>
    <w:rsid w:val="000E42A9"/>
    <w:rsid w:val="000F163C"/>
    <w:rsid w:val="000F1E97"/>
    <w:rsid w:val="000F24B8"/>
    <w:rsid w:val="000F3C97"/>
    <w:rsid w:val="000F5AC7"/>
    <w:rsid w:val="001078C8"/>
    <w:rsid w:val="00107A7C"/>
    <w:rsid w:val="00117F78"/>
    <w:rsid w:val="00121E9B"/>
    <w:rsid w:val="00125F3E"/>
    <w:rsid w:val="00127520"/>
    <w:rsid w:val="001321AC"/>
    <w:rsid w:val="00133A79"/>
    <w:rsid w:val="001364E0"/>
    <w:rsid w:val="00137551"/>
    <w:rsid w:val="00145742"/>
    <w:rsid w:val="001508AE"/>
    <w:rsid w:val="0015146A"/>
    <w:rsid w:val="00154305"/>
    <w:rsid w:val="00160D7F"/>
    <w:rsid w:val="00161E6E"/>
    <w:rsid w:val="0016510D"/>
    <w:rsid w:val="00166B6E"/>
    <w:rsid w:val="00170096"/>
    <w:rsid w:val="00170F1F"/>
    <w:rsid w:val="0017148E"/>
    <w:rsid w:val="00172540"/>
    <w:rsid w:val="00173446"/>
    <w:rsid w:val="00175531"/>
    <w:rsid w:val="001808BE"/>
    <w:rsid w:val="00182CFE"/>
    <w:rsid w:val="00184574"/>
    <w:rsid w:val="00185122"/>
    <w:rsid w:val="00190088"/>
    <w:rsid w:val="00190A3F"/>
    <w:rsid w:val="0019150D"/>
    <w:rsid w:val="00192D75"/>
    <w:rsid w:val="001930D2"/>
    <w:rsid w:val="0019428D"/>
    <w:rsid w:val="001944F9"/>
    <w:rsid w:val="001961AE"/>
    <w:rsid w:val="00196880"/>
    <w:rsid w:val="001A2207"/>
    <w:rsid w:val="001A2E0B"/>
    <w:rsid w:val="001A43A8"/>
    <w:rsid w:val="001A4CFD"/>
    <w:rsid w:val="001A5C41"/>
    <w:rsid w:val="001B1381"/>
    <w:rsid w:val="001B46C5"/>
    <w:rsid w:val="001B56F0"/>
    <w:rsid w:val="001B61A4"/>
    <w:rsid w:val="001B6819"/>
    <w:rsid w:val="001C09D1"/>
    <w:rsid w:val="001C6DE1"/>
    <w:rsid w:val="001D0167"/>
    <w:rsid w:val="001D125C"/>
    <w:rsid w:val="001D1B4A"/>
    <w:rsid w:val="001D3587"/>
    <w:rsid w:val="001D46BD"/>
    <w:rsid w:val="001D5690"/>
    <w:rsid w:val="001E1AA4"/>
    <w:rsid w:val="001E568B"/>
    <w:rsid w:val="001F2316"/>
    <w:rsid w:val="001F30C4"/>
    <w:rsid w:val="001F471D"/>
    <w:rsid w:val="001F7032"/>
    <w:rsid w:val="002026B2"/>
    <w:rsid w:val="00210CAD"/>
    <w:rsid w:val="00212A6D"/>
    <w:rsid w:val="002146C4"/>
    <w:rsid w:val="00215BB1"/>
    <w:rsid w:val="00221860"/>
    <w:rsid w:val="00227208"/>
    <w:rsid w:val="00227A06"/>
    <w:rsid w:val="00227A5F"/>
    <w:rsid w:val="0023005F"/>
    <w:rsid w:val="002304B2"/>
    <w:rsid w:val="00233C91"/>
    <w:rsid w:val="00233E7F"/>
    <w:rsid w:val="00233EB8"/>
    <w:rsid w:val="00234574"/>
    <w:rsid w:val="0023552F"/>
    <w:rsid w:val="00247DF0"/>
    <w:rsid w:val="00250543"/>
    <w:rsid w:val="00253266"/>
    <w:rsid w:val="00257C16"/>
    <w:rsid w:val="002619F9"/>
    <w:rsid w:val="0026580C"/>
    <w:rsid w:val="00266C2F"/>
    <w:rsid w:val="00267F3E"/>
    <w:rsid w:val="00270CE1"/>
    <w:rsid w:val="0027190B"/>
    <w:rsid w:val="00271E65"/>
    <w:rsid w:val="002748DE"/>
    <w:rsid w:val="00277080"/>
    <w:rsid w:val="002778A6"/>
    <w:rsid w:val="0028096C"/>
    <w:rsid w:val="00281190"/>
    <w:rsid w:val="00282134"/>
    <w:rsid w:val="002871BE"/>
    <w:rsid w:val="00290BD1"/>
    <w:rsid w:val="002927EA"/>
    <w:rsid w:val="0029614B"/>
    <w:rsid w:val="0029653C"/>
    <w:rsid w:val="00296F3A"/>
    <w:rsid w:val="002A043D"/>
    <w:rsid w:val="002A2894"/>
    <w:rsid w:val="002A3021"/>
    <w:rsid w:val="002A416C"/>
    <w:rsid w:val="002A6F97"/>
    <w:rsid w:val="002A7410"/>
    <w:rsid w:val="002B14E6"/>
    <w:rsid w:val="002B2CC0"/>
    <w:rsid w:val="002B3450"/>
    <w:rsid w:val="002B48D0"/>
    <w:rsid w:val="002B52B6"/>
    <w:rsid w:val="002B5F8B"/>
    <w:rsid w:val="002C319E"/>
    <w:rsid w:val="002C71EF"/>
    <w:rsid w:val="002D0681"/>
    <w:rsid w:val="002D2609"/>
    <w:rsid w:val="002D3261"/>
    <w:rsid w:val="002D4ECA"/>
    <w:rsid w:val="002D601F"/>
    <w:rsid w:val="002E5D51"/>
    <w:rsid w:val="002E6EBC"/>
    <w:rsid w:val="002E721A"/>
    <w:rsid w:val="002F2A34"/>
    <w:rsid w:val="002F5D98"/>
    <w:rsid w:val="002F70D4"/>
    <w:rsid w:val="00300A63"/>
    <w:rsid w:val="00300B1A"/>
    <w:rsid w:val="00302289"/>
    <w:rsid w:val="00305B58"/>
    <w:rsid w:val="00310598"/>
    <w:rsid w:val="003106AE"/>
    <w:rsid w:val="003141D3"/>
    <w:rsid w:val="0031422C"/>
    <w:rsid w:val="0031427C"/>
    <w:rsid w:val="00314768"/>
    <w:rsid w:val="00315795"/>
    <w:rsid w:val="0032051D"/>
    <w:rsid w:val="00324876"/>
    <w:rsid w:val="0032592F"/>
    <w:rsid w:val="003268AF"/>
    <w:rsid w:val="00330E91"/>
    <w:rsid w:val="00334D30"/>
    <w:rsid w:val="00335968"/>
    <w:rsid w:val="0033618E"/>
    <w:rsid w:val="00336EE4"/>
    <w:rsid w:val="00340285"/>
    <w:rsid w:val="003405E6"/>
    <w:rsid w:val="003426A7"/>
    <w:rsid w:val="0034522D"/>
    <w:rsid w:val="0035013E"/>
    <w:rsid w:val="00350447"/>
    <w:rsid w:val="003504C0"/>
    <w:rsid w:val="003535C4"/>
    <w:rsid w:val="003557CF"/>
    <w:rsid w:val="003573AF"/>
    <w:rsid w:val="003627D4"/>
    <w:rsid w:val="0037138F"/>
    <w:rsid w:val="00371F18"/>
    <w:rsid w:val="00373FA5"/>
    <w:rsid w:val="00375831"/>
    <w:rsid w:val="00376FA7"/>
    <w:rsid w:val="0038074F"/>
    <w:rsid w:val="0038667E"/>
    <w:rsid w:val="00386E63"/>
    <w:rsid w:val="00387771"/>
    <w:rsid w:val="00390219"/>
    <w:rsid w:val="00391571"/>
    <w:rsid w:val="00396A15"/>
    <w:rsid w:val="00397061"/>
    <w:rsid w:val="00397B00"/>
    <w:rsid w:val="003A0647"/>
    <w:rsid w:val="003A140E"/>
    <w:rsid w:val="003A567A"/>
    <w:rsid w:val="003A623B"/>
    <w:rsid w:val="003B025C"/>
    <w:rsid w:val="003B3BE4"/>
    <w:rsid w:val="003B40D8"/>
    <w:rsid w:val="003B7AF8"/>
    <w:rsid w:val="003B7F44"/>
    <w:rsid w:val="003C0C27"/>
    <w:rsid w:val="003C3038"/>
    <w:rsid w:val="003C53A4"/>
    <w:rsid w:val="003C69D2"/>
    <w:rsid w:val="003D15F6"/>
    <w:rsid w:val="003D23EC"/>
    <w:rsid w:val="003D7E86"/>
    <w:rsid w:val="003D7EFB"/>
    <w:rsid w:val="003E250A"/>
    <w:rsid w:val="003E30A3"/>
    <w:rsid w:val="003E63C2"/>
    <w:rsid w:val="003E701D"/>
    <w:rsid w:val="003E73D0"/>
    <w:rsid w:val="003F2AA0"/>
    <w:rsid w:val="003F3AC3"/>
    <w:rsid w:val="003F46AC"/>
    <w:rsid w:val="003F4F55"/>
    <w:rsid w:val="003F5A6B"/>
    <w:rsid w:val="00400E60"/>
    <w:rsid w:val="00403EB7"/>
    <w:rsid w:val="00403FE1"/>
    <w:rsid w:val="0040433A"/>
    <w:rsid w:val="004051AB"/>
    <w:rsid w:val="00405652"/>
    <w:rsid w:val="00406ED5"/>
    <w:rsid w:val="004073F2"/>
    <w:rsid w:val="00412744"/>
    <w:rsid w:val="0041426F"/>
    <w:rsid w:val="00417F87"/>
    <w:rsid w:val="0042236D"/>
    <w:rsid w:val="0042498A"/>
    <w:rsid w:val="00425DF9"/>
    <w:rsid w:val="00427599"/>
    <w:rsid w:val="00427BBC"/>
    <w:rsid w:val="00432030"/>
    <w:rsid w:val="00432C48"/>
    <w:rsid w:val="00433981"/>
    <w:rsid w:val="00433B26"/>
    <w:rsid w:val="004343A8"/>
    <w:rsid w:val="00434A14"/>
    <w:rsid w:val="00434ECF"/>
    <w:rsid w:val="00435AF5"/>
    <w:rsid w:val="004375B6"/>
    <w:rsid w:val="00445391"/>
    <w:rsid w:val="00446DC2"/>
    <w:rsid w:val="004472D2"/>
    <w:rsid w:val="00451489"/>
    <w:rsid w:val="00456329"/>
    <w:rsid w:val="0046122D"/>
    <w:rsid w:val="004635DC"/>
    <w:rsid w:val="0046375D"/>
    <w:rsid w:val="00465212"/>
    <w:rsid w:val="004711A7"/>
    <w:rsid w:val="004718DC"/>
    <w:rsid w:val="004733F6"/>
    <w:rsid w:val="0047357C"/>
    <w:rsid w:val="00473796"/>
    <w:rsid w:val="00476269"/>
    <w:rsid w:val="004763D5"/>
    <w:rsid w:val="00476423"/>
    <w:rsid w:val="004765F8"/>
    <w:rsid w:val="00481807"/>
    <w:rsid w:val="004832E5"/>
    <w:rsid w:val="00485BC2"/>
    <w:rsid w:val="004869AC"/>
    <w:rsid w:val="0048771E"/>
    <w:rsid w:val="004902D1"/>
    <w:rsid w:val="00491138"/>
    <w:rsid w:val="004915E9"/>
    <w:rsid w:val="00492E4B"/>
    <w:rsid w:val="004949D4"/>
    <w:rsid w:val="00494CB5"/>
    <w:rsid w:val="00495C40"/>
    <w:rsid w:val="00496566"/>
    <w:rsid w:val="004A03F8"/>
    <w:rsid w:val="004A0A81"/>
    <w:rsid w:val="004A1D6B"/>
    <w:rsid w:val="004A33CB"/>
    <w:rsid w:val="004A345F"/>
    <w:rsid w:val="004A415F"/>
    <w:rsid w:val="004A5A4C"/>
    <w:rsid w:val="004A79DF"/>
    <w:rsid w:val="004B116F"/>
    <w:rsid w:val="004B361A"/>
    <w:rsid w:val="004C3DCA"/>
    <w:rsid w:val="004C5144"/>
    <w:rsid w:val="004C570E"/>
    <w:rsid w:val="004C5C46"/>
    <w:rsid w:val="004C6CE2"/>
    <w:rsid w:val="004C7808"/>
    <w:rsid w:val="004D0587"/>
    <w:rsid w:val="004D0719"/>
    <w:rsid w:val="004D0F41"/>
    <w:rsid w:val="004D2866"/>
    <w:rsid w:val="004D375B"/>
    <w:rsid w:val="004D3A94"/>
    <w:rsid w:val="004D3EEA"/>
    <w:rsid w:val="004D4A04"/>
    <w:rsid w:val="004E44C4"/>
    <w:rsid w:val="004E52F2"/>
    <w:rsid w:val="004E56C2"/>
    <w:rsid w:val="004E65B9"/>
    <w:rsid w:val="004E6608"/>
    <w:rsid w:val="004F0682"/>
    <w:rsid w:val="004F0D9C"/>
    <w:rsid w:val="004F2C0C"/>
    <w:rsid w:val="004F2C57"/>
    <w:rsid w:val="004F3FDA"/>
    <w:rsid w:val="004F481B"/>
    <w:rsid w:val="004F4907"/>
    <w:rsid w:val="004F6DE0"/>
    <w:rsid w:val="00500820"/>
    <w:rsid w:val="00501C9E"/>
    <w:rsid w:val="00501E7A"/>
    <w:rsid w:val="0050295B"/>
    <w:rsid w:val="0050470E"/>
    <w:rsid w:val="0051118D"/>
    <w:rsid w:val="005120CA"/>
    <w:rsid w:val="0051418A"/>
    <w:rsid w:val="00515956"/>
    <w:rsid w:val="0052071D"/>
    <w:rsid w:val="00521BAA"/>
    <w:rsid w:val="005220FE"/>
    <w:rsid w:val="00523286"/>
    <w:rsid w:val="005232E4"/>
    <w:rsid w:val="00524DEA"/>
    <w:rsid w:val="00526181"/>
    <w:rsid w:val="00527A79"/>
    <w:rsid w:val="00530B56"/>
    <w:rsid w:val="00531EA6"/>
    <w:rsid w:val="00534CA0"/>
    <w:rsid w:val="00541E82"/>
    <w:rsid w:val="00543D10"/>
    <w:rsid w:val="00545E13"/>
    <w:rsid w:val="00547E15"/>
    <w:rsid w:val="00547E84"/>
    <w:rsid w:val="00550077"/>
    <w:rsid w:val="005507D4"/>
    <w:rsid w:val="00552B74"/>
    <w:rsid w:val="00560EC2"/>
    <w:rsid w:val="005617A8"/>
    <w:rsid w:val="00561EFC"/>
    <w:rsid w:val="005624CE"/>
    <w:rsid w:val="005626F5"/>
    <w:rsid w:val="005643A7"/>
    <w:rsid w:val="00571ABB"/>
    <w:rsid w:val="00572CD7"/>
    <w:rsid w:val="00573F63"/>
    <w:rsid w:val="00575D82"/>
    <w:rsid w:val="00575FD9"/>
    <w:rsid w:val="00584933"/>
    <w:rsid w:val="00585909"/>
    <w:rsid w:val="005875A3"/>
    <w:rsid w:val="00591A4D"/>
    <w:rsid w:val="00591EC1"/>
    <w:rsid w:val="00593719"/>
    <w:rsid w:val="00593D22"/>
    <w:rsid w:val="00594F47"/>
    <w:rsid w:val="005A3B8A"/>
    <w:rsid w:val="005A3C98"/>
    <w:rsid w:val="005A4DD9"/>
    <w:rsid w:val="005A58B9"/>
    <w:rsid w:val="005A5927"/>
    <w:rsid w:val="005A7E24"/>
    <w:rsid w:val="005B49E9"/>
    <w:rsid w:val="005B52E4"/>
    <w:rsid w:val="005C1599"/>
    <w:rsid w:val="005C2A73"/>
    <w:rsid w:val="005C3674"/>
    <w:rsid w:val="005C36FB"/>
    <w:rsid w:val="005C3D04"/>
    <w:rsid w:val="005C47D5"/>
    <w:rsid w:val="005C5CDD"/>
    <w:rsid w:val="005C5EB6"/>
    <w:rsid w:val="005D03CC"/>
    <w:rsid w:val="005E0271"/>
    <w:rsid w:val="005E1513"/>
    <w:rsid w:val="005E1CCC"/>
    <w:rsid w:val="005E4DB5"/>
    <w:rsid w:val="005E56B4"/>
    <w:rsid w:val="005E5B63"/>
    <w:rsid w:val="005E7CFB"/>
    <w:rsid w:val="005F1119"/>
    <w:rsid w:val="005F1AB7"/>
    <w:rsid w:val="005F27A6"/>
    <w:rsid w:val="005F2EF5"/>
    <w:rsid w:val="005F3105"/>
    <w:rsid w:val="005F5EF4"/>
    <w:rsid w:val="005F5FF5"/>
    <w:rsid w:val="00603B8D"/>
    <w:rsid w:val="00605B0D"/>
    <w:rsid w:val="00607130"/>
    <w:rsid w:val="0060739B"/>
    <w:rsid w:val="00611314"/>
    <w:rsid w:val="006121CE"/>
    <w:rsid w:val="00613D42"/>
    <w:rsid w:val="0061461A"/>
    <w:rsid w:val="00620F62"/>
    <w:rsid w:val="0062161E"/>
    <w:rsid w:val="00621970"/>
    <w:rsid w:val="00621BCB"/>
    <w:rsid w:val="00622DF9"/>
    <w:rsid w:val="006231C2"/>
    <w:rsid w:val="0062443A"/>
    <w:rsid w:val="006265E2"/>
    <w:rsid w:val="00627C73"/>
    <w:rsid w:val="00630112"/>
    <w:rsid w:val="00630565"/>
    <w:rsid w:val="006338BB"/>
    <w:rsid w:val="006343D8"/>
    <w:rsid w:val="006427E4"/>
    <w:rsid w:val="00643D9E"/>
    <w:rsid w:val="0064578C"/>
    <w:rsid w:val="00652760"/>
    <w:rsid w:val="006547CC"/>
    <w:rsid w:val="00654855"/>
    <w:rsid w:val="006565C2"/>
    <w:rsid w:val="00656B82"/>
    <w:rsid w:val="00656E6C"/>
    <w:rsid w:val="0066073D"/>
    <w:rsid w:val="0066264F"/>
    <w:rsid w:val="006637F1"/>
    <w:rsid w:val="00665ADB"/>
    <w:rsid w:val="00666FED"/>
    <w:rsid w:val="00670A84"/>
    <w:rsid w:val="0068242A"/>
    <w:rsid w:val="00683881"/>
    <w:rsid w:val="00684452"/>
    <w:rsid w:val="00691041"/>
    <w:rsid w:val="006A14FD"/>
    <w:rsid w:val="006A2630"/>
    <w:rsid w:val="006A2F9C"/>
    <w:rsid w:val="006A577C"/>
    <w:rsid w:val="006A5DF3"/>
    <w:rsid w:val="006A6623"/>
    <w:rsid w:val="006A67EF"/>
    <w:rsid w:val="006A6F31"/>
    <w:rsid w:val="006A7B7D"/>
    <w:rsid w:val="006B1290"/>
    <w:rsid w:val="006B2F77"/>
    <w:rsid w:val="006B3C34"/>
    <w:rsid w:val="006C0AF4"/>
    <w:rsid w:val="006C246A"/>
    <w:rsid w:val="006C2DCE"/>
    <w:rsid w:val="006C5556"/>
    <w:rsid w:val="006C5C50"/>
    <w:rsid w:val="006C65F6"/>
    <w:rsid w:val="006D1338"/>
    <w:rsid w:val="006D1DB5"/>
    <w:rsid w:val="006D3D7A"/>
    <w:rsid w:val="006D4652"/>
    <w:rsid w:val="006D4AFF"/>
    <w:rsid w:val="006D55F6"/>
    <w:rsid w:val="006D6103"/>
    <w:rsid w:val="006D6490"/>
    <w:rsid w:val="006D65F0"/>
    <w:rsid w:val="006E0088"/>
    <w:rsid w:val="006E0B28"/>
    <w:rsid w:val="006E100A"/>
    <w:rsid w:val="006E13FE"/>
    <w:rsid w:val="006E2494"/>
    <w:rsid w:val="006E3AAA"/>
    <w:rsid w:val="006E4AB6"/>
    <w:rsid w:val="006E56D8"/>
    <w:rsid w:val="006E755E"/>
    <w:rsid w:val="006E781C"/>
    <w:rsid w:val="007023A6"/>
    <w:rsid w:val="00704556"/>
    <w:rsid w:val="00705525"/>
    <w:rsid w:val="00707803"/>
    <w:rsid w:val="0071409F"/>
    <w:rsid w:val="007146DB"/>
    <w:rsid w:val="00714BE7"/>
    <w:rsid w:val="00715283"/>
    <w:rsid w:val="0071782C"/>
    <w:rsid w:val="007178C5"/>
    <w:rsid w:val="00717938"/>
    <w:rsid w:val="00720844"/>
    <w:rsid w:val="00722A32"/>
    <w:rsid w:val="00725FC5"/>
    <w:rsid w:val="00732387"/>
    <w:rsid w:val="00732B55"/>
    <w:rsid w:val="00732D67"/>
    <w:rsid w:val="00733662"/>
    <w:rsid w:val="00733E38"/>
    <w:rsid w:val="007342C1"/>
    <w:rsid w:val="0073463C"/>
    <w:rsid w:val="00734DC1"/>
    <w:rsid w:val="0073540F"/>
    <w:rsid w:val="007354BB"/>
    <w:rsid w:val="007402CA"/>
    <w:rsid w:val="00741183"/>
    <w:rsid w:val="00742C32"/>
    <w:rsid w:val="00746C8A"/>
    <w:rsid w:val="00752658"/>
    <w:rsid w:val="007538D9"/>
    <w:rsid w:val="00753F24"/>
    <w:rsid w:val="00754250"/>
    <w:rsid w:val="00756627"/>
    <w:rsid w:val="007574E4"/>
    <w:rsid w:val="007602BE"/>
    <w:rsid w:val="00761066"/>
    <w:rsid w:val="00761D50"/>
    <w:rsid w:val="00762FA8"/>
    <w:rsid w:val="007652BE"/>
    <w:rsid w:val="00765AE8"/>
    <w:rsid w:val="0077068A"/>
    <w:rsid w:val="007723C9"/>
    <w:rsid w:val="007737AC"/>
    <w:rsid w:val="00776760"/>
    <w:rsid w:val="00777EB3"/>
    <w:rsid w:val="00780BF3"/>
    <w:rsid w:val="00783FE5"/>
    <w:rsid w:val="0078441F"/>
    <w:rsid w:val="007846B5"/>
    <w:rsid w:val="007872AE"/>
    <w:rsid w:val="007906A3"/>
    <w:rsid w:val="00790C5C"/>
    <w:rsid w:val="00792912"/>
    <w:rsid w:val="00792A16"/>
    <w:rsid w:val="00792B31"/>
    <w:rsid w:val="0079539B"/>
    <w:rsid w:val="00795C34"/>
    <w:rsid w:val="007960D5"/>
    <w:rsid w:val="00797E4A"/>
    <w:rsid w:val="007A04F0"/>
    <w:rsid w:val="007A13E2"/>
    <w:rsid w:val="007A3D17"/>
    <w:rsid w:val="007A50BE"/>
    <w:rsid w:val="007B06EE"/>
    <w:rsid w:val="007B0D04"/>
    <w:rsid w:val="007B1A20"/>
    <w:rsid w:val="007C11BC"/>
    <w:rsid w:val="007C3602"/>
    <w:rsid w:val="007C5DEA"/>
    <w:rsid w:val="007D16B1"/>
    <w:rsid w:val="007D273D"/>
    <w:rsid w:val="007D2F67"/>
    <w:rsid w:val="007D4D75"/>
    <w:rsid w:val="007D5EB8"/>
    <w:rsid w:val="007E0033"/>
    <w:rsid w:val="007E513B"/>
    <w:rsid w:val="007E5ABE"/>
    <w:rsid w:val="007E7BC3"/>
    <w:rsid w:val="007F5ADD"/>
    <w:rsid w:val="007F6A13"/>
    <w:rsid w:val="007F745C"/>
    <w:rsid w:val="007F7F3D"/>
    <w:rsid w:val="008014D4"/>
    <w:rsid w:val="00802EF7"/>
    <w:rsid w:val="008031E6"/>
    <w:rsid w:val="00807ACD"/>
    <w:rsid w:val="00811D70"/>
    <w:rsid w:val="0081351D"/>
    <w:rsid w:val="008156F1"/>
    <w:rsid w:val="0081742E"/>
    <w:rsid w:val="00821384"/>
    <w:rsid w:val="00823914"/>
    <w:rsid w:val="008243AA"/>
    <w:rsid w:val="00824DEF"/>
    <w:rsid w:val="0082663E"/>
    <w:rsid w:val="008305CA"/>
    <w:rsid w:val="00831285"/>
    <w:rsid w:val="00833034"/>
    <w:rsid w:val="00833D5F"/>
    <w:rsid w:val="00835BBD"/>
    <w:rsid w:val="008366FD"/>
    <w:rsid w:val="008400E4"/>
    <w:rsid w:val="00841144"/>
    <w:rsid w:val="00844E34"/>
    <w:rsid w:val="0084594A"/>
    <w:rsid w:val="008461B2"/>
    <w:rsid w:val="008477A1"/>
    <w:rsid w:val="00851F6F"/>
    <w:rsid w:val="00852D44"/>
    <w:rsid w:val="00853B7E"/>
    <w:rsid w:val="008541F3"/>
    <w:rsid w:val="00855095"/>
    <w:rsid w:val="008578E2"/>
    <w:rsid w:val="00862CCB"/>
    <w:rsid w:val="0086317F"/>
    <w:rsid w:val="008668DE"/>
    <w:rsid w:val="0086731C"/>
    <w:rsid w:val="008676F6"/>
    <w:rsid w:val="00872A6C"/>
    <w:rsid w:val="00873703"/>
    <w:rsid w:val="00874E7F"/>
    <w:rsid w:val="00876A95"/>
    <w:rsid w:val="0088246E"/>
    <w:rsid w:val="00883C15"/>
    <w:rsid w:val="00883CA5"/>
    <w:rsid w:val="008840D7"/>
    <w:rsid w:val="00887EB0"/>
    <w:rsid w:val="00891069"/>
    <w:rsid w:val="008940BB"/>
    <w:rsid w:val="00897DB4"/>
    <w:rsid w:val="008A1E74"/>
    <w:rsid w:val="008A6346"/>
    <w:rsid w:val="008B2E5A"/>
    <w:rsid w:val="008B380B"/>
    <w:rsid w:val="008B64D0"/>
    <w:rsid w:val="008B6A45"/>
    <w:rsid w:val="008B739D"/>
    <w:rsid w:val="008B746C"/>
    <w:rsid w:val="008C0006"/>
    <w:rsid w:val="008C1D87"/>
    <w:rsid w:val="008D0052"/>
    <w:rsid w:val="008D4A0A"/>
    <w:rsid w:val="008E0E5B"/>
    <w:rsid w:val="008E2ED1"/>
    <w:rsid w:val="008E5957"/>
    <w:rsid w:val="008F1D08"/>
    <w:rsid w:val="008F6826"/>
    <w:rsid w:val="009036E3"/>
    <w:rsid w:val="009038C2"/>
    <w:rsid w:val="00903E5F"/>
    <w:rsid w:val="00904824"/>
    <w:rsid w:val="00905277"/>
    <w:rsid w:val="00905B7C"/>
    <w:rsid w:val="00912A8C"/>
    <w:rsid w:val="0091431C"/>
    <w:rsid w:val="00917784"/>
    <w:rsid w:val="00922240"/>
    <w:rsid w:val="00924D28"/>
    <w:rsid w:val="0092534D"/>
    <w:rsid w:val="00926694"/>
    <w:rsid w:val="00927884"/>
    <w:rsid w:val="009324AC"/>
    <w:rsid w:val="00933DC0"/>
    <w:rsid w:val="00935527"/>
    <w:rsid w:val="00936293"/>
    <w:rsid w:val="00943550"/>
    <w:rsid w:val="00945F2D"/>
    <w:rsid w:val="009473AF"/>
    <w:rsid w:val="00951C13"/>
    <w:rsid w:val="00952869"/>
    <w:rsid w:val="009544F8"/>
    <w:rsid w:val="009562AF"/>
    <w:rsid w:val="0095637F"/>
    <w:rsid w:val="00971099"/>
    <w:rsid w:val="00974940"/>
    <w:rsid w:val="00976A5A"/>
    <w:rsid w:val="009850F6"/>
    <w:rsid w:val="0098551B"/>
    <w:rsid w:val="00986EDC"/>
    <w:rsid w:val="009878A9"/>
    <w:rsid w:val="00991E6D"/>
    <w:rsid w:val="00993462"/>
    <w:rsid w:val="00994771"/>
    <w:rsid w:val="0099530F"/>
    <w:rsid w:val="009956CC"/>
    <w:rsid w:val="00996289"/>
    <w:rsid w:val="00997AA3"/>
    <w:rsid w:val="009A0EA0"/>
    <w:rsid w:val="009A4552"/>
    <w:rsid w:val="009A5A06"/>
    <w:rsid w:val="009A732D"/>
    <w:rsid w:val="009B1839"/>
    <w:rsid w:val="009B2C89"/>
    <w:rsid w:val="009B34AF"/>
    <w:rsid w:val="009B40E9"/>
    <w:rsid w:val="009B4600"/>
    <w:rsid w:val="009B76E6"/>
    <w:rsid w:val="009B7739"/>
    <w:rsid w:val="009C1937"/>
    <w:rsid w:val="009C223F"/>
    <w:rsid w:val="009C48B7"/>
    <w:rsid w:val="009C4F87"/>
    <w:rsid w:val="009C5C61"/>
    <w:rsid w:val="009C7D98"/>
    <w:rsid w:val="009D5CB0"/>
    <w:rsid w:val="009D6044"/>
    <w:rsid w:val="009D6C2F"/>
    <w:rsid w:val="009D7C2D"/>
    <w:rsid w:val="009E02A7"/>
    <w:rsid w:val="009E0ABA"/>
    <w:rsid w:val="009E141D"/>
    <w:rsid w:val="009E2B62"/>
    <w:rsid w:val="009F17C3"/>
    <w:rsid w:val="009F1DD6"/>
    <w:rsid w:val="009F29A7"/>
    <w:rsid w:val="009F3BFE"/>
    <w:rsid w:val="009F5A10"/>
    <w:rsid w:val="009F71D1"/>
    <w:rsid w:val="00A00036"/>
    <w:rsid w:val="00A00735"/>
    <w:rsid w:val="00A02972"/>
    <w:rsid w:val="00A04475"/>
    <w:rsid w:val="00A04BA8"/>
    <w:rsid w:val="00A06E86"/>
    <w:rsid w:val="00A07223"/>
    <w:rsid w:val="00A12CB7"/>
    <w:rsid w:val="00A1332F"/>
    <w:rsid w:val="00A17FD3"/>
    <w:rsid w:val="00A31B87"/>
    <w:rsid w:val="00A31BFA"/>
    <w:rsid w:val="00A338AC"/>
    <w:rsid w:val="00A35522"/>
    <w:rsid w:val="00A363C0"/>
    <w:rsid w:val="00A36BA7"/>
    <w:rsid w:val="00A36BF7"/>
    <w:rsid w:val="00A37B89"/>
    <w:rsid w:val="00A4348C"/>
    <w:rsid w:val="00A43887"/>
    <w:rsid w:val="00A44496"/>
    <w:rsid w:val="00A475F9"/>
    <w:rsid w:val="00A51131"/>
    <w:rsid w:val="00A529F3"/>
    <w:rsid w:val="00A54127"/>
    <w:rsid w:val="00A559FC"/>
    <w:rsid w:val="00A56103"/>
    <w:rsid w:val="00A56884"/>
    <w:rsid w:val="00A57FAC"/>
    <w:rsid w:val="00A61C0C"/>
    <w:rsid w:val="00A628B5"/>
    <w:rsid w:val="00A63B48"/>
    <w:rsid w:val="00A63FDB"/>
    <w:rsid w:val="00A642FF"/>
    <w:rsid w:val="00A645AC"/>
    <w:rsid w:val="00A64890"/>
    <w:rsid w:val="00A65D06"/>
    <w:rsid w:val="00A66221"/>
    <w:rsid w:val="00A6729F"/>
    <w:rsid w:val="00A6777A"/>
    <w:rsid w:val="00A70D9B"/>
    <w:rsid w:val="00A72F76"/>
    <w:rsid w:val="00A74649"/>
    <w:rsid w:val="00A75085"/>
    <w:rsid w:val="00A812A0"/>
    <w:rsid w:val="00A85E92"/>
    <w:rsid w:val="00A90AB2"/>
    <w:rsid w:val="00A922B1"/>
    <w:rsid w:val="00A93108"/>
    <w:rsid w:val="00A9548A"/>
    <w:rsid w:val="00A975C7"/>
    <w:rsid w:val="00AA133C"/>
    <w:rsid w:val="00AA142C"/>
    <w:rsid w:val="00AB0DB5"/>
    <w:rsid w:val="00AB26A6"/>
    <w:rsid w:val="00AB4BEE"/>
    <w:rsid w:val="00AB5862"/>
    <w:rsid w:val="00AB76F1"/>
    <w:rsid w:val="00AC16F2"/>
    <w:rsid w:val="00AC25C9"/>
    <w:rsid w:val="00AC7335"/>
    <w:rsid w:val="00AD0C38"/>
    <w:rsid w:val="00AD0D93"/>
    <w:rsid w:val="00AD0F44"/>
    <w:rsid w:val="00AD17EA"/>
    <w:rsid w:val="00AD4984"/>
    <w:rsid w:val="00AD4E3E"/>
    <w:rsid w:val="00AD797F"/>
    <w:rsid w:val="00AE5506"/>
    <w:rsid w:val="00AE59D5"/>
    <w:rsid w:val="00AF52A2"/>
    <w:rsid w:val="00AF52D2"/>
    <w:rsid w:val="00AF7B37"/>
    <w:rsid w:val="00B02B2D"/>
    <w:rsid w:val="00B03883"/>
    <w:rsid w:val="00B052EA"/>
    <w:rsid w:val="00B053FE"/>
    <w:rsid w:val="00B11536"/>
    <w:rsid w:val="00B1459E"/>
    <w:rsid w:val="00B14E96"/>
    <w:rsid w:val="00B17C1B"/>
    <w:rsid w:val="00B2004D"/>
    <w:rsid w:val="00B207AC"/>
    <w:rsid w:val="00B211CF"/>
    <w:rsid w:val="00B22730"/>
    <w:rsid w:val="00B22A28"/>
    <w:rsid w:val="00B243A7"/>
    <w:rsid w:val="00B26524"/>
    <w:rsid w:val="00B26559"/>
    <w:rsid w:val="00B27574"/>
    <w:rsid w:val="00B324B7"/>
    <w:rsid w:val="00B32BC9"/>
    <w:rsid w:val="00B33974"/>
    <w:rsid w:val="00B34DF3"/>
    <w:rsid w:val="00B3561E"/>
    <w:rsid w:val="00B36267"/>
    <w:rsid w:val="00B44C01"/>
    <w:rsid w:val="00B5009F"/>
    <w:rsid w:val="00B50339"/>
    <w:rsid w:val="00B50970"/>
    <w:rsid w:val="00B50DD5"/>
    <w:rsid w:val="00B5327D"/>
    <w:rsid w:val="00B556DF"/>
    <w:rsid w:val="00B600ED"/>
    <w:rsid w:val="00B63E76"/>
    <w:rsid w:val="00B66D91"/>
    <w:rsid w:val="00B73B8F"/>
    <w:rsid w:val="00B7743F"/>
    <w:rsid w:val="00B77CD2"/>
    <w:rsid w:val="00B8051E"/>
    <w:rsid w:val="00B807EC"/>
    <w:rsid w:val="00B83C52"/>
    <w:rsid w:val="00B85830"/>
    <w:rsid w:val="00B926AF"/>
    <w:rsid w:val="00B934FA"/>
    <w:rsid w:val="00B9379A"/>
    <w:rsid w:val="00B94525"/>
    <w:rsid w:val="00BA2D10"/>
    <w:rsid w:val="00BA3468"/>
    <w:rsid w:val="00BA3B71"/>
    <w:rsid w:val="00BA5ED0"/>
    <w:rsid w:val="00BB5E21"/>
    <w:rsid w:val="00BB6017"/>
    <w:rsid w:val="00BB64E9"/>
    <w:rsid w:val="00BC0642"/>
    <w:rsid w:val="00BC298B"/>
    <w:rsid w:val="00BD0B3E"/>
    <w:rsid w:val="00BD0C57"/>
    <w:rsid w:val="00BD313B"/>
    <w:rsid w:val="00BD4405"/>
    <w:rsid w:val="00BD6E34"/>
    <w:rsid w:val="00BD71E3"/>
    <w:rsid w:val="00BD7652"/>
    <w:rsid w:val="00BD7C67"/>
    <w:rsid w:val="00BE0EB8"/>
    <w:rsid w:val="00BE18DF"/>
    <w:rsid w:val="00BE1D04"/>
    <w:rsid w:val="00BE4EE5"/>
    <w:rsid w:val="00BE6366"/>
    <w:rsid w:val="00BE729E"/>
    <w:rsid w:val="00BF195C"/>
    <w:rsid w:val="00BF1DAE"/>
    <w:rsid w:val="00BF21A8"/>
    <w:rsid w:val="00BF60B6"/>
    <w:rsid w:val="00C00D97"/>
    <w:rsid w:val="00C034B9"/>
    <w:rsid w:val="00C042A7"/>
    <w:rsid w:val="00C05392"/>
    <w:rsid w:val="00C0539E"/>
    <w:rsid w:val="00C0589E"/>
    <w:rsid w:val="00C11665"/>
    <w:rsid w:val="00C12D08"/>
    <w:rsid w:val="00C21B7B"/>
    <w:rsid w:val="00C2204F"/>
    <w:rsid w:val="00C26099"/>
    <w:rsid w:val="00C27561"/>
    <w:rsid w:val="00C3106F"/>
    <w:rsid w:val="00C32E41"/>
    <w:rsid w:val="00C3322B"/>
    <w:rsid w:val="00C36693"/>
    <w:rsid w:val="00C3697D"/>
    <w:rsid w:val="00C40ED2"/>
    <w:rsid w:val="00C437EE"/>
    <w:rsid w:val="00C5136D"/>
    <w:rsid w:val="00C555F7"/>
    <w:rsid w:val="00C5570A"/>
    <w:rsid w:val="00C57CB8"/>
    <w:rsid w:val="00C57CDD"/>
    <w:rsid w:val="00C61028"/>
    <w:rsid w:val="00C626D6"/>
    <w:rsid w:val="00C6415B"/>
    <w:rsid w:val="00C717FC"/>
    <w:rsid w:val="00C719E0"/>
    <w:rsid w:val="00C73C0A"/>
    <w:rsid w:val="00C74F38"/>
    <w:rsid w:val="00C75126"/>
    <w:rsid w:val="00C75279"/>
    <w:rsid w:val="00C771F8"/>
    <w:rsid w:val="00C801CB"/>
    <w:rsid w:val="00C80705"/>
    <w:rsid w:val="00C80B03"/>
    <w:rsid w:val="00C81879"/>
    <w:rsid w:val="00C831C3"/>
    <w:rsid w:val="00C83E01"/>
    <w:rsid w:val="00C85688"/>
    <w:rsid w:val="00C90011"/>
    <w:rsid w:val="00C90387"/>
    <w:rsid w:val="00C925C1"/>
    <w:rsid w:val="00C968C4"/>
    <w:rsid w:val="00C97599"/>
    <w:rsid w:val="00CA3504"/>
    <w:rsid w:val="00CA4F50"/>
    <w:rsid w:val="00CB52E1"/>
    <w:rsid w:val="00CB71DF"/>
    <w:rsid w:val="00CB78CB"/>
    <w:rsid w:val="00CC4973"/>
    <w:rsid w:val="00CC6CF7"/>
    <w:rsid w:val="00CD33FB"/>
    <w:rsid w:val="00CE0D10"/>
    <w:rsid w:val="00CE44D5"/>
    <w:rsid w:val="00CE5DAA"/>
    <w:rsid w:val="00CE6095"/>
    <w:rsid w:val="00CE7F9B"/>
    <w:rsid w:val="00CF01CB"/>
    <w:rsid w:val="00CF0C50"/>
    <w:rsid w:val="00CF13AB"/>
    <w:rsid w:val="00CF2B09"/>
    <w:rsid w:val="00CF3E05"/>
    <w:rsid w:val="00D00105"/>
    <w:rsid w:val="00D0761C"/>
    <w:rsid w:val="00D11E27"/>
    <w:rsid w:val="00D1306F"/>
    <w:rsid w:val="00D139D2"/>
    <w:rsid w:val="00D14EDB"/>
    <w:rsid w:val="00D15A51"/>
    <w:rsid w:val="00D1685D"/>
    <w:rsid w:val="00D212F7"/>
    <w:rsid w:val="00D221D8"/>
    <w:rsid w:val="00D24FA9"/>
    <w:rsid w:val="00D250D0"/>
    <w:rsid w:val="00D25CE0"/>
    <w:rsid w:val="00D267F3"/>
    <w:rsid w:val="00D27AFA"/>
    <w:rsid w:val="00D27B4E"/>
    <w:rsid w:val="00D3032F"/>
    <w:rsid w:val="00D306AB"/>
    <w:rsid w:val="00D3082B"/>
    <w:rsid w:val="00D33450"/>
    <w:rsid w:val="00D355E7"/>
    <w:rsid w:val="00D3647D"/>
    <w:rsid w:val="00D40CE3"/>
    <w:rsid w:val="00D4682A"/>
    <w:rsid w:val="00D51A57"/>
    <w:rsid w:val="00D51C6A"/>
    <w:rsid w:val="00D52826"/>
    <w:rsid w:val="00D52FF1"/>
    <w:rsid w:val="00D5379D"/>
    <w:rsid w:val="00D552C1"/>
    <w:rsid w:val="00D62EE8"/>
    <w:rsid w:val="00D630AD"/>
    <w:rsid w:val="00D63CA0"/>
    <w:rsid w:val="00D63F30"/>
    <w:rsid w:val="00D67143"/>
    <w:rsid w:val="00D67F29"/>
    <w:rsid w:val="00D72442"/>
    <w:rsid w:val="00D741C8"/>
    <w:rsid w:val="00D80012"/>
    <w:rsid w:val="00D804CB"/>
    <w:rsid w:val="00D804E8"/>
    <w:rsid w:val="00D80AE7"/>
    <w:rsid w:val="00D80EA0"/>
    <w:rsid w:val="00D81354"/>
    <w:rsid w:val="00D830A7"/>
    <w:rsid w:val="00D84A5A"/>
    <w:rsid w:val="00D86E68"/>
    <w:rsid w:val="00D87831"/>
    <w:rsid w:val="00D92554"/>
    <w:rsid w:val="00D92C42"/>
    <w:rsid w:val="00D95A8C"/>
    <w:rsid w:val="00D97D73"/>
    <w:rsid w:val="00DA0ABC"/>
    <w:rsid w:val="00DA1B03"/>
    <w:rsid w:val="00DA2281"/>
    <w:rsid w:val="00DA3407"/>
    <w:rsid w:val="00DA46E8"/>
    <w:rsid w:val="00DA62FE"/>
    <w:rsid w:val="00DA6CC1"/>
    <w:rsid w:val="00DA7D46"/>
    <w:rsid w:val="00DA7FA9"/>
    <w:rsid w:val="00DB0753"/>
    <w:rsid w:val="00DB2EE0"/>
    <w:rsid w:val="00DB6E9C"/>
    <w:rsid w:val="00DC3A88"/>
    <w:rsid w:val="00DC4143"/>
    <w:rsid w:val="00DC4680"/>
    <w:rsid w:val="00DC5B4E"/>
    <w:rsid w:val="00DD01BF"/>
    <w:rsid w:val="00DD170B"/>
    <w:rsid w:val="00DD1947"/>
    <w:rsid w:val="00DD1CE2"/>
    <w:rsid w:val="00DD299E"/>
    <w:rsid w:val="00DD63D2"/>
    <w:rsid w:val="00DE210D"/>
    <w:rsid w:val="00DE23B2"/>
    <w:rsid w:val="00DE41BA"/>
    <w:rsid w:val="00DE59AF"/>
    <w:rsid w:val="00DE6656"/>
    <w:rsid w:val="00DE6D49"/>
    <w:rsid w:val="00DE754E"/>
    <w:rsid w:val="00DE79D5"/>
    <w:rsid w:val="00DF5A79"/>
    <w:rsid w:val="00DF7725"/>
    <w:rsid w:val="00DF7F7B"/>
    <w:rsid w:val="00E00DCC"/>
    <w:rsid w:val="00E020FD"/>
    <w:rsid w:val="00E057DB"/>
    <w:rsid w:val="00E071E0"/>
    <w:rsid w:val="00E0746C"/>
    <w:rsid w:val="00E07C9A"/>
    <w:rsid w:val="00E108A1"/>
    <w:rsid w:val="00E126B6"/>
    <w:rsid w:val="00E14026"/>
    <w:rsid w:val="00E17F96"/>
    <w:rsid w:val="00E2001D"/>
    <w:rsid w:val="00E24349"/>
    <w:rsid w:val="00E254D9"/>
    <w:rsid w:val="00E26A88"/>
    <w:rsid w:val="00E26FBE"/>
    <w:rsid w:val="00E3093E"/>
    <w:rsid w:val="00E32679"/>
    <w:rsid w:val="00E34244"/>
    <w:rsid w:val="00E34334"/>
    <w:rsid w:val="00E35232"/>
    <w:rsid w:val="00E36227"/>
    <w:rsid w:val="00E37458"/>
    <w:rsid w:val="00E37D20"/>
    <w:rsid w:val="00E40641"/>
    <w:rsid w:val="00E436E5"/>
    <w:rsid w:val="00E4470D"/>
    <w:rsid w:val="00E45774"/>
    <w:rsid w:val="00E45F74"/>
    <w:rsid w:val="00E502F0"/>
    <w:rsid w:val="00E51554"/>
    <w:rsid w:val="00E5341A"/>
    <w:rsid w:val="00E53E71"/>
    <w:rsid w:val="00E54550"/>
    <w:rsid w:val="00E546F5"/>
    <w:rsid w:val="00E547C1"/>
    <w:rsid w:val="00E6299B"/>
    <w:rsid w:val="00E6394F"/>
    <w:rsid w:val="00E66295"/>
    <w:rsid w:val="00E66C09"/>
    <w:rsid w:val="00E67477"/>
    <w:rsid w:val="00E70AEE"/>
    <w:rsid w:val="00E74183"/>
    <w:rsid w:val="00E74438"/>
    <w:rsid w:val="00E751EB"/>
    <w:rsid w:val="00E75934"/>
    <w:rsid w:val="00E75CC8"/>
    <w:rsid w:val="00E76B85"/>
    <w:rsid w:val="00E77ADE"/>
    <w:rsid w:val="00E82F16"/>
    <w:rsid w:val="00E83065"/>
    <w:rsid w:val="00E83D91"/>
    <w:rsid w:val="00E85553"/>
    <w:rsid w:val="00E85621"/>
    <w:rsid w:val="00E85637"/>
    <w:rsid w:val="00E87CA8"/>
    <w:rsid w:val="00E91521"/>
    <w:rsid w:val="00E924A9"/>
    <w:rsid w:val="00E95D6E"/>
    <w:rsid w:val="00E95E84"/>
    <w:rsid w:val="00EA0077"/>
    <w:rsid w:val="00EA12E1"/>
    <w:rsid w:val="00EA1639"/>
    <w:rsid w:val="00EA2760"/>
    <w:rsid w:val="00EA2E0A"/>
    <w:rsid w:val="00EA5807"/>
    <w:rsid w:val="00EA7288"/>
    <w:rsid w:val="00EB282E"/>
    <w:rsid w:val="00EB4B50"/>
    <w:rsid w:val="00EB74C9"/>
    <w:rsid w:val="00EC1E64"/>
    <w:rsid w:val="00EC2F1E"/>
    <w:rsid w:val="00ED0112"/>
    <w:rsid w:val="00ED3C84"/>
    <w:rsid w:val="00ED4130"/>
    <w:rsid w:val="00EE0083"/>
    <w:rsid w:val="00EE0688"/>
    <w:rsid w:val="00EE1C98"/>
    <w:rsid w:val="00EE57CB"/>
    <w:rsid w:val="00EE7186"/>
    <w:rsid w:val="00EF0D81"/>
    <w:rsid w:val="00EF0E5E"/>
    <w:rsid w:val="00EF6315"/>
    <w:rsid w:val="00EF6804"/>
    <w:rsid w:val="00EF6AF0"/>
    <w:rsid w:val="00F0169C"/>
    <w:rsid w:val="00F06929"/>
    <w:rsid w:val="00F10751"/>
    <w:rsid w:val="00F10F82"/>
    <w:rsid w:val="00F12900"/>
    <w:rsid w:val="00F15960"/>
    <w:rsid w:val="00F15E9A"/>
    <w:rsid w:val="00F161F0"/>
    <w:rsid w:val="00F1717B"/>
    <w:rsid w:val="00F219B0"/>
    <w:rsid w:val="00F2590C"/>
    <w:rsid w:val="00F25BAA"/>
    <w:rsid w:val="00F2785E"/>
    <w:rsid w:val="00F3190B"/>
    <w:rsid w:val="00F33004"/>
    <w:rsid w:val="00F344C5"/>
    <w:rsid w:val="00F3463F"/>
    <w:rsid w:val="00F34F29"/>
    <w:rsid w:val="00F36A56"/>
    <w:rsid w:val="00F40851"/>
    <w:rsid w:val="00F422DC"/>
    <w:rsid w:val="00F42991"/>
    <w:rsid w:val="00F446D1"/>
    <w:rsid w:val="00F447AB"/>
    <w:rsid w:val="00F46535"/>
    <w:rsid w:val="00F5332A"/>
    <w:rsid w:val="00F53627"/>
    <w:rsid w:val="00F53CD9"/>
    <w:rsid w:val="00F60C13"/>
    <w:rsid w:val="00F6446E"/>
    <w:rsid w:val="00F64B5D"/>
    <w:rsid w:val="00F721E4"/>
    <w:rsid w:val="00F72390"/>
    <w:rsid w:val="00F75133"/>
    <w:rsid w:val="00F765BB"/>
    <w:rsid w:val="00F81364"/>
    <w:rsid w:val="00F83154"/>
    <w:rsid w:val="00F8357D"/>
    <w:rsid w:val="00F83A77"/>
    <w:rsid w:val="00F849B3"/>
    <w:rsid w:val="00F87FB8"/>
    <w:rsid w:val="00F91AEE"/>
    <w:rsid w:val="00F945DB"/>
    <w:rsid w:val="00F94A57"/>
    <w:rsid w:val="00F977A0"/>
    <w:rsid w:val="00FA1E37"/>
    <w:rsid w:val="00FA3C15"/>
    <w:rsid w:val="00FA6627"/>
    <w:rsid w:val="00FA71A3"/>
    <w:rsid w:val="00FB065F"/>
    <w:rsid w:val="00FB0AE1"/>
    <w:rsid w:val="00FB1F6A"/>
    <w:rsid w:val="00FB4201"/>
    <w:rsid w:val="00FB628B"/>
    <w:rsid w:val="00FC1274"/>
    <w:rsid w:val="00FC3062"/>
    <w:rsid w:val="00FC3B4C"/>
    <w:rsid w:val="00FC583F"/>
    <w:rsid w:val="00FD0460"/>
    <w:rsid w:val="00FD0CAF"/>
    <w:rsid w:val="00FD2851"/>
    <w:rsid w:val="00FD3ED5"/>
    <w:rsid w:val="00FD464F"/>
    <w:rsid w:val="00FD4B2D"/>
    <w:rsid w:val="00FD596C"/>
    <w:rsid w:val="00FE2D75"/>
    <w:rsid w:val="00FE42B1"/>
    <w:rsid w:val="00FE7BB0"/>
    <w:rsid w:val="00FE7DAF"/>
    <w:rsid w:val="00FF1D4B"/>
    <w:rsid w:val="00FF39FC"/>
    <w:rsid w:val="00FF59B2"/>
    <w:rsid w:val="00FF6C9C"/>
    <w:rsid w:val="00FF7C57"/>
    <w:rsid w:val="01051937"/>
    <w:rsid w:val="010D5792"/>
    <w:rsid w:val="01147B17"/>
    <w:rsid w:val="01276B23"/>
    <w:rsid w:val="012A1F06"/>
    <w:rsid w:val="01383857"/>
    <w:rsid w:val="014B4AD4"/>
    <w:rsid w:val="014F1DFF"/>
    <w:rsid w:val="01B41AE5"/>
    <w:rsid w:val="01CF7782"/>
    <w:rsid w:val="01EC2CF0"/>
    <w:rsid w:val="01F92E2E"/>
    <w:rsid w:val="02166C9A"/>
    <w:rsid w:val="029032FF"/>
    <w:rsid w:val="02A66735"/>
    <w:rsid w:val="02AB1758"/>
    <w:rsid w:val="02AD583D"/>
    <w:rsid w:val="02B40E52"/>
    <w:rsid w:val="02BD4D49"/>
    <w:rsid w:val="02D4220B"/>
    <w:rsid w:val="02DD1310"/>
    <w:rsid w:val="030B6318"/>
    <w:rsid w:val="030B7BB8"/>
    <w:rsid w:val="032B542F"/>
    <w:rsid w:val="034078C8"/>
    <w:rsid w:val="03590902"/>
    <w:rsid w:val="036B4087"/>
    <w:rsid w:val="0370464D"/>
    <w:rsid w:val="03870A00"/>
    <w:rsid w:val="03C75CE6"/>
    <w:rsid w:val="03CA7149"/>
    <w:rsid w:val="03D008F5"/>
    <w:rsid w:val="03E77005"/>
    <w:rsid w:val="042B1509"/>
    <w:rsid w:val="04802A74"/>
    <w:rsid w:val="04817B47"/>
    <w:rsid w:val="049031F8"/>
    <w:rsid w:val="04CF5539"/>
    <w:rsid w:val="04E67943"/>
    <w:rsid w:val="0500235B"/>
    <w:rsid w:val="0517092E"/>
    <w:rsid w:val="05307E0C"/>
    <w:rsid w:val="05327261"/>
    <w:rsid w:val="05366FFF"/>
    <w:rsid w:val="054C257B"/>
    <w:rsid w:val="055B5E8C"/>
    <w:rsid w:val="055E564E"/>
    <w:rsid w:val="05625ADB"/>
    <w:rsid w:val="05655910"/>
    <w:rsid w:val="057275DF"/>
    <w:rsid w:val="059B716D"/>
    <w:rsid w:val="05A14F91"/>
    <w:rsid w:val="05C71AA0"/>
    <w:rsid w:val="05DD514D"/>
    <w:rsid w:val="061833AB"/>
    <w:rsid w:val="06913258"/>
    <w:rsid w:val="069A210C"/>
    <w:rsid w:val="06A96BF7"/>
    <w:rsid w:val="06B2634D"/>
    <w:rsid w:val="06BD0C51"/>
    <w:rsid w:val="06C82480"/>
    <w:rsid w:val="070E2AFA"/>
    <w:rsid w:val="07117741"/>
    <w:rsid w:val="071A0BD4"/>
    <w:rsid w:val="07315D83"/>
    <w:rsid w:val="0734209C"/>
    <w:rsid w:val="073B49DD"/>
    <w:rsid w:val="075A7AEE"/>
    <w:rsid w:val="07677852"/>
    <w:rsid w:val="077C7E95"/>
    <w:rsid w:val="079B7473"/>
    <w:rsid w:val="07A82607"/>
    <w:rsid w:val="07CD1DDA"/>
    <w:rsid w:val="07D24FFA"/>
    <w:rsid w:val="07D7113E"/>
    <w:rsid w:val="07E02A09"/>
    <w:rsid w:val="081B54CF"/>
    <w:rsid w:val="0825695B"/>
    <w:rsid w:val="085B1D6F"/>
    <w:rsid w:val="086441EA"/>
    <w:rsid w:val="088D237D"/>
    <w:rsid w:val="088E7A4F"/>
    <w:rsid w:val="08A234FA"/>
    <w:rsid w:val="08C57C28"/>
    <w:rsid w:val="08DC478A"/>
    <w:rsid w:val="08F20414"/>
    <w:rsid w:val="08FE779A"/>
    <w:rsid w:val="09102B5A"/>
    <w:rsid w:val="092A3C3E"/>
    <w:rsid w:val="092E475C"/>
    <w:rsid w:val="09412429"/>
    <w:rsid w:val="09570789"/>
    <w:rsid w:val="095E51B5"/>
    <w:rsid w:val="09631893"/>
    <w:rsid w:val="097B1013"/>
    <w:rsid w:val="09960852"/>
    <w:rsid w:val="09B0131B"/>
    <w:rsid w:val="09B062D9"/>
    <w:rsid w:val="09C63973"/>
    <w:rsid w:val="09F055A0"/>
    <w:rsid w:val="09FB5325"/>
    <w:rsid w:val="0A166E02"/>
    <w:rsid w:val="0A177030"/>
    <w:rsid w:val="0A193C90"/>
    <w:rsid w:val="0A1F39FF"/>
    <w:rsid w:val="0A323C96"/>
    <w:rsid w:val="0A3C5E6F"/>
    <w:rsid w:val="0A464947"/>
    <w:rsid w:val="0A5117E0"/>
    <w:rsid w:val="0A5A457B"/>
    <w:rsid w:val="0A614779"/>
    <w:rsid w:val="0A7E2DBA"/>
    <w:rsid w:val="0A826757"/>
    <w:rsid w:val="0A9D21CB"/>
    <w:rsid w:val="0AD972F6"/>
    <w:rsid w:val="0AFF6643"/>
    <w:rsid w:val="0B194252"/>
    <w:rsid w:val="0B1A77EE"/>
    <w:rsid w:val="0B24469B"/>
    <w:rsid w:val="0B2B66EA"/>
    <w:rsid w:val="0B2F21DF"/>
    <w:rsid w:val="0B350656"/>
    <w:rsid w:val="0B395951"/>
    <w:rsid w:val="0B5940E6"/>
    <w:rsid w:val="0B9E269F"/>
    <w:rsid w:val="0BA67416"/>
    <w:rsid w:val="0BA82C33"/>
    <w:rsid w:val="0BAE01E2"/>
    <w:rsid w:val="0BB04B96"/>
    <w:rsid w:val="0BBC1F6D"/>
    <w:rsid w:val="0BCB48B8"/>
    <w:rsid w:val="0BFE70BF"/>
    <w:rsid w:val="0C4C4CEB"/>
    <w:rsid w:val="0C64719F"/>
    <w:rsid w:val="0C660FA0"/>
    <w:rsid w:val="0C696930"/>
    <w:rsid w:val="0C6C34D9"/>
    <w:rsid w:val="0C801DB2"/>
    <w:rsid w:val="0CBB30AB"/>
    <w:rsid w:val="0CD0675F"/>
    <w:rsid w:val="0CF956B3"/>
    <w:rsid w:val="0CFF716D"/>
    <w:rsid w:val="0D1325F5"/>
    <w:rsid w:val="0D140E7B"/>
    <w:rsid w:val="0D2E39C7"/>
    <w:rsid w:val="0D4728C2"/>
    <w:rsid w:val="0D700428"/>
    <w:rsid w:val="0D73046C"/>
    <w:rsid w:val="0D884F40"/>
    <w:rsid w:val="0D8E5AB5"/>
    <w:rsid w:val="0D971E4A"/>
    <w:rsid w:val="0DDA1CCE"/>
    <w:rsid w:val="0E174590"/>
    <w:rsid w:val="0E583DEE"/>
    <w:rsid w:val="0E682AF0"/>
    <w:rsid w:val="0E7771D7"/>
    <w:rsid w:val="0E8F62CF"/>
    <w:rsid w:val="0EE64B4B"/>
    <w:rsid w:val="0EEA5BFB"/>
    <w:rsid w:val="0EEA79A9"/>
    <w:rsid w:val="0F105F67"/>
    <w:rsid w:val="0F1E1080"/>
    <w:rsid w:val="0F2F5B7D"/>
    <w:rsid w:val="0F525388"/>
    <w:rsid w:val="0F8743F0"/>
    <w:rsid w:val="0F8F1D35"/>
    <w:rsid w:val="0FB45E0C"/>
    <w:rsid w:val="0FB83C20"/>
    <w:rsid w:val="0FD7617F"/>
    <w:rsid w:val="0FDF3CC4"/>
    <w:rsid w:val="0FFA64DD"/>
    <w:rsid w:val="10087C26"/>
    <w:rsid w:val="10154880"/>
    <w:rsid w:val="10163AD4"/>
    <w:rsid w:val="103709CC"/>
    <w:rsid w:val="103F4CD1"/>
    <w:rsid w:val="105A7677"/>
    <w:rsid w:val="105C2245"/>
    <w:rsid w:val="10913DEB"/>
    <w:rsid w:val="10A03AEF"/>
    <w:rsid w:val="10A0462E"/>
    <w:rsid w:val="10A06F5C"/>
    <w:rsid w:val="10AD2F47"/>
    <w:rsid w:val="10B22749"/>
    <w:rsid w:val="11004148"/>
    <w:rsid w:val="11093F3B"/>
    <w:rsid w:val="110C6291"/>
    <w:rsid w:val="112D746E"/>
    <w:rsid w:val="113637F4"/>
    <w:rsid w:val="113E5DA8"/>
    <w:rsid w:val="11934328"/>
    <w:rsid w:val="11AE1162"/>
    <w:rsid w:val="11C12D17"/>
    <w:rsid w:val="11D939F6"/>
    <w:rsid w:val="11FD79F3"/>
    <w:rsid w:val="120E53F9"/>
    <w:rsid w:val="123B4095"/>
    <w:rsid w:val="12407455"/>
    <w:rsid w:val="124A2743"/>
    <w:rsid w:val="127D2CA9"/>
    <w:rsid w:val="12943A9B"/>
    <w:rsid w:val="129C6CE6"/>
    <w:rsid w:val="12AC2FA1"/>
    <w:rsid w:val="12CD73C6"/>
    <w:rsid w:val="12CF5147"/>
    <w:rsid w:val="12CF75E2"/>
    <w:rsid w:val="12DB00C9"/>
    <w:rsid w:val="12DF4161"/>
    <w:rsid w:val="12F50C70"/>
    <w:rsid w:val="1317039A"/>
    <w:rsid w:val="13370A53"/>
    <w:rsid w:val="13683C13"/>
    <w:rsid w:val="1371525C"/>
    <w:rsid w:val="139D148E"/>
    <w:rsid w:val="13A127CC"/>
    <w:rsid w:val="13A94697"/>
    <w:rsid w:val="13D31805"/>
    <w:rsid w:val="13DE57AE"/>
    <w:rsid w:val="141C64A3"/>
    <w:rsid w:val="141E5FEA"/>
    <w:rsid w:val="14314256"/>
    <w:rsid w:val="143F56D5"/>
    <w:rsid w:val="14584F94"/>
    <w:rsid w:val="14CC2FF3"/>
    <w:rsid w:val="14D26F15"/>
    <w:rsid w:val="14E97A9D"/>
    <w:rsid w:val="14F72E20"/>
    <w:rsid w:val="150C0679"/>
    <w:rsid w:val="15170DCC"/>
    <w:rsid w:val="15312A9E"/>
    <w:rsid w:val="15477C3A"/>
    <w:rsid w:val="154B4BEE"/>
    <w:rsid w:val="154E348C"/>
    <w:rsid w:val="15727DBD"/>
    <w:rsid w:val="157D6C1C"/>
    <w:rsid w:val="1598015F"/>
    <w:rsid w:val="15CD2DE0"/>
    <w:rsid w:val="15E13969"/>
    <w:rsid w:val="15E1607E"/>
    <w:rsid w:val="15F62085"/>
    <w:rsid w:val="16232671"/>
    <w:rsid w:val="162615CB"/>
    <w:rsid w:val="162A7602"/>
    <w:rsid w:val="163F3BB4"/>
    <w:rsid w:val="16524BAF"/>
    <w:rsid w:val="166E0D25"/>
    <w:rsid w:val="16713443"/>
    <w:rsid w:val="16793C7D"/>
    <w:rsid w:val="169C77DB"/>
    <w:rsid w:val="16E25DF4"/>
    <w:rsid w:val="16FE2244"/>
    <w:rsid w:val="17043E4B"/>
    <w:rsid w:val="173A0A29"/>
    <w:rsid w:val="1743544E"/>
    <w:rsid w:val="176166ED"/>
    <w:rsid w:val="177408B3"/>
    <w:rsid w:val="1780534F"/>
    <w:rsid w:val="17914E66"/>
    <w:rsid w:val="17917675"/>
    <w:rsid w:val="17971737"/>
    <w:rsid w:val="179A615A"/>
    <w:rsid w:val="17B12A09"/>
    <w:rsid w:val="17BB1EE3"/>
    <w:rsid w:val="17BF0794"/>
    <w:rsid w:val="17E67233"/>
    <w:rsid w:val="183F1A77"/>
    <w:rsid w:val="185B476E"/>
    <w:rsid w:val="186662F2"/>
    <w:rsid w:val="18B352B0"/>
    <w:rsid w:val="18BF54D5"/>
    <w:rsid w:val="18FC39F8"/>
    <w:rsid w:val="19410B0E"/>
    <w:rsid w:val="194B4E2F"/>
    <w:rsid w:val="194E39E3"/>
    <w:rsid w:val="19674179"/>
    <w:rsid w:val="19734519"/>
    <w:rsid w:val="197902A7"/>
    <w:rsid w:val="198A4742"/>
    <w:rsid w:val="1A026561"/>
    <w:rsid w:val="1A174491"/>
    <w:rsid w:val="1A6215E6"/>
    <w:rsid w:val="1A902E3E"/>
    <w:rsid w:val="1A97379A"/>
    <w:rsid w:val="1AAC6537"/>
    <w:rsid w:val="1AB86C93"/>
    <w:rsid w:val="1AC35080"/>
    <w:rsid w:val="1AE4634E"/>
    <w:rsid w:val="1AF015A4"/>
    <w:rsid w:val="1B0B3181"/>
    <w:rsid w:val="1B2E11D7"/>
    <w:rsid w:val="1B9118D8"/>
    <w:rsid w:val="1BC11A92"/>
    <w:rsid w:val="1BC54051"/>
    <w:rsid w:val="1BD34B17"/>
    <w:rsid w:val="1BE80CC4"/>
    <w:rsid w:val="1C275D99"/>
    <w:rsid w:val="1C2873D7"/>
    <w:rsid w:val="1C5D2BD7"/>
    <w:rsid w:val="1C9C6787"/>
    <w:rsid w:val="1CA31D4B"/>
    <w:rsid w:val="1CA57E41"/>
    <w:rsid w:val="1CB00A39"/>
    <w:rsid w:val="1CD27DA3"/>
    <w:rsid w:val="1CDD6D9F"/>
    <w:rsid w:val="1CF44D38"/>
    <w:rsid w:val="1D660757"/>
    <w:rsid w:val="1D6607E3"/>
    <w:rsid w:val="1D736769"/>
    <w:rsid w:val="1D787797"/>
    <w:rsid w:val="1D96795E"/>
    <w:rsid w:val="1D9C7EFB"/>
    <w:rsid w:val="1DA83C03"/>
    <w:rsid w:val="1DAA3443"/>
    <w:rsid w:val="1DB16ABC"/>
    <w:rsid w:val="1DDB66A4"/>
    <w:rsid w:val="1E2371D4"/>
    <w:rsid w:val="1E591CBF"/>
    <w:rsid w:val="1E60403B"/>
    <w:rsid w:val="1E8369A9"/>
    <w:rsid w:val="1E912C0B"/>
    <w:rsid w:val="1E9670FF"/>
    <w:rsid w:val="1EAF25D2"/>
    <w:rsid w:val="1EC27FFB"/>
    <w:rsid w:val="1EC76DBC"/>
    <w:rsid w:val="1ECB0694"/>
    <w:rsid w:val="1ED7757E"/>
    <w:rsid w:val="1EF328AA"/>
    <w:rsid w:val="1EF87EC0"/>
    <w:rsid w:val="1F097A0A"/>
    <w:rsid w:val="1F0D7F9A"/>
    <w:rsid w:val="1F3F1467"/>
    <w:rsid w:val="1F7F79E2"/>
    <w:rsid w:val="1F836D6D"/>
    <w:rsid w:val="1F8C0424"/>
    <w:rsid w:val="1F993B5D"/>
    <w:rsid w:val="1FA505FD"/>
    <w:rsid w:val="1FCD4B1D"/>
    <w:rsid w:val="1FE43FA1"/>
    <w:rsid w:val="1FF85E94"/>
    <w:rsid w:val="1FFE4A4B"/>
    <w:rsid w:val="200E5B2C"/>
    <w:rsid w:val="205A797D"/>
    <w:rsid w:val="20773CD7"/>
    <w:rsid w:val="208F6602"/>
    <w:rsid w:val="20C90CBD"/>
    <w:rsid w:val="20D55676"/>
    <w:rsid w:val="20DA14BF"/>
    <w:rsid w:val="20EE5257"/>
    <w:rsid w:val="21134597"/>
    <w:rsid w:val="21176A6B"/>
    <w:rsid w:val="213963C0"/>
    <w:rsid w:val="21571FA5"/>
    <w:rsid w:val="215E28E0"/>
    <w:rsid w:val="21822F6D"/>
    <w:rsid w:val="219B650E"/>
    <w:rsid w:val="21B0432A"/>
    <w:rsid w:val="21E75DDF"/>
    <w:rsid w:val="221B24B7"/>
    <w:rsid w:val="222334A6"/>
    <w:rsid w:val="224B0DE4"/>
    <w:rsid w:val="226B637B"/>
    <w:rsid w:val="226C6FC2"/>
    <w:rsid w:val="226F4C69"/>
    <w:rsid w:val="22765384"/>
    <w:rsid w:val="229A383D"/>
    <w:rsid w:val="22AE7907"/>
    <w:rsid w:val="22C5455D"/>
    <w:rsid w:val="22E420BB"/>
    <w:rsid w:val="230638FC"/>
    <w:rsid w:val="230D4F75"/>
    <w:rsid w:val="231A6657"/>
    <w:rsid w:val="23676ABE"/>
    <w:rsid w:val="237F6FA1"/>
    <w:rsid w:val="23816B94"/>
    <w:rsid w:val="238C6E29"/>
    <w:rsid w:val="23953F30"/>
    <w:rsid w:val="239E5C97"/>
    <w:rsid w:val="23D4727D"/>
    <w:rsid w:val="244365C0"/>
    <w:rsid w:val="24611730"/>
    <w:rsid w:val="246B4D69"/>
    <w:rsid w:val="24874310"/>
    <w:rsid w:val="24D665AE"/>
    <w:rsid w:val="24E0742D"/>
    <w:rsid w:val="24FB696B"/>
    <w:rsid w:val="251D6507"/>
    <w:rsid w:val="25254DF4"/>
    <w:rsid w:val="252F2F92"/>
    <w:rsid w:val="25301559"/>
    <w:rsid w:val="254A07FC"/>
    <w:rsid w:val="254E04F3"/>
    <w:rsid w:val="25561143"/>
    <w:rsid w:val="2564005E"/>
    <w:rsid w:val="256E67E6"/>
    <w:rsid w:val="257510D7"/>
    <w:rsid w:val="25867EF4"/>
    <w:rsid w:val="25B1778B"/>
    <w:rsid w:val="25C94365"/>
    <w:rsid w:val="25E92EF7"/>
    <w:rsid w:val="25F81108"/>
    <w:rsid w:val="261A0A6D"/>
    <w:rsid w:val="264B2FCC"/>
    <w:rsid w:val="2665408D"/>
    <w:rsid w:val="267145FD"/>
    <w:rsid w:val="267832D8"/>
    <w:rsid w:val="269F0D17"/>
    <w:rsid w:val="26A00DA9"/>
    <w:rsid w:val="26AF6241"/>
    <w:rsid w:val="26CC3CAB"/>
    <w:rsid w:val="26DF71D2"/>
    <w:rsid w:val="26E34FB2"/>
    <w:rsid w:val="26F3035F"/>
    <w:rsid w:val="26F9733C"/>
    <w:rsid w:val="26FB054E"/>
    <w:rsid w:val="2746115A"/>
    <w:rsid w:val="2779594F"/>
    <w:rsid w:val="278A1348"/>
    <w:rsid w:val="27972A92"/>
    <w:rsid w:val="27BD6605"/>
    <w:rsid w:val="27BF40EE"/>
    <w:rsid w:val="27CE7A10"/>
    <w:rsid w:val="27EA2C7D"/>
    <w:rsid w:val="27F751B9"/>
    <w:rsid w:val="280C3487"/>
    <w:rsid w:val="2827582D"/>
    <w:rsid w:val="286C31ED"/>
    <w:rsid w:val="28790C7D"/>
    <w:rsid w:val="288A6488"/>
    <w:rsid w:val="28A0653C"/>
    <w:rsid w:val="28BD58F1"/>
    <w:rsid w:val="28FA37B3"/>
    <w:rsid w:val="296965C9"/>
    <w:rsid w:val="297503DB"/>
    <w:rsid w:val="29842058"/>
    <w:rsid w:val="29946A38"/>
    <w:rsid w:val="29972CC1"/>
    <w:rsid w:val="29BE185C"/>
    <w:rsid w:val="29C648FD"/>
    <w:rsid w:val="29C9048F"/>
    <w:rsid w:val="29DD412F"/>
    <w:rsid w:val="2A033AEE"/>
    <w:rsid w:val="2A0B1B3C"/>
    <w:rsid w:val="2A177D7F"/>
    <w:rsid w:val="2A253258"/>
    <w:rsid w:val="2A2E0BA6"/>
    <w:rsid w:val="2A78737A"/>
    <w:rsid w:val="2A7F4DB0"/>
    <w:rsid w:val="2AC81714"/>
    <w:rsid w:val="2AE220A6"/>
    <w:rsid w:val="2AE2278D"/>
    <w:rsid w:val="2B0550CA"/>
    <w:rsid w:val="2B0864A8"/>
    <w:rsid w:val="2B130C92"/>
    <w:rsid w:val="2B1C16B7"/>
    <w:rsid w:val="2B361B54"/>
    <w:rsid w:val="2B3641E4"/>
    <w:rsid w:val="2B3F1D11"/>
    <w:rsid w:val="2B630856"/>
    <w:rsid w:val="2B7F6B4B"/>
    <w:rsid w:val="2B927A09"/>
    <w:rsid w:val="2BA07916"/>
    <w:rsid w:val="2BD71778"/>
    <w:rsid w:val="2BD840D3"/>
    <w:rsid w:val="2BE30C7F"/>
    <w:rsid w:val="2BF437BD"/>
    <w:rsid w:val="2BF47F57"/>
    <w:rsid w:val="2C00245B"/>
    <w:rsid w:val="2C3A647F"/>
    <w:rsid w:val="2C493F67"/>
    <w:rsid w:val="2C4E7372"/>
    <w:rsid w:val="2C6A5209"/>
    <w:rsid w:val="2C702E6E"/>
    <w:rsid w:val="2C725A2C"/>
    <w:rsid w:val="2C830F53"/>
    <w:rsid w:val="2CE57EC0"/>
    <w:rsid w:val="2CE90146"/>
    <w:rsid w:val="2D156482"/>
    <w:rsid w:val="2D4C1B03"/>
    <w:rsid w:val="2D6904DB"/>
    <w:rsid w:val="2D802279"/>
    <w:rsid w:val="2D945A4A"/>
    <w:rsid w:val="2D9E1C33"/>
    <w:rsid w:val="2DA960B4"/>
    <w:rsid w:val="2DE9230F"/>
    <w:rsid w:val="2DF01A0C"/>
    <w:rsid w:val="2DF67CC1"/>
    <w:rsid w:val="2EBE07DF"/>
    <w:rsid w:val="2EDD2724"/>
    <w:rsid w:val="2EE55543"/>
    <w:rsid w:val="2EF819A9"/>
    <w:rsid w:val="2F4A777B"/>
    <w:rsid w:val="2F651A4E"/>
    <w:rsid w:val="2F833C9E"/>
    <w:rsid w:val="2F937661"/>
    <w:rsid w:val="2FEC3129"/>
    <w:rsid w:val="30112B90"/>
    <w:rsid w:val="30333788"/>
    <w:rsid w:val="304C5976"/>
    <w:rsid w:val="30746B04"/>
    <w:rsid w:val="30A6152A"/>
    <w:rsid w:val="30CA384A"/>
    <w:rsid w:val="30DE6504"/>
    <w:rsid w:val="30FC0F59"/>
    <w:rsid w:val="3110753A"/>
    <w:rsid w:val="31416BE0"/>
    <w:rsid w:val="3179325C"/>
    <w:rsid w:val="31F007FB"/>
    <w:rsid w:val="3212499D"/>
    <w:rsid w:val="325C4455"/>
    <w:rsid w:val="327171DF"/>
    <w:rsid w:val="32804819"/>
    <w:rsid w:val="32D443D2"/>
    <w:rsid w:val="32EF0482"/>
    <w:rsid w:val="32EF1505"/>
    <w:rsid w:val="331A081D"/>
    <w:rsid w:val="334D77BB"/>
    <w:rsid w:val="33626D62"/>
    <w:rsid w:val="336F654B"/>
    <w:rsid w:val="339E6412"/>
    <w:rsid w:val="33A1074F"/>
    <w:rsid w:val="34081D51"/>
    <w:rsid w:val="342C266B"/>
    <w:rsid w:val="342E4300"/>
    <w:rsid w:val="343E5CCB"/>
    <w:rsid w:val="34636CDD"/>
    <w:rsid w:val="34891740"/>
    <w:rsid w:val="34945956"/>
    <w:rsid w:val="349A75F8"/>
    <w:rsid w:val="34DB210A"/>
    <w:rsid w:val="34FB5D04"/>
    <w:rsid w:val="35004F81"/>
    <w:rsid w:val="35040CB8"/>
    <w:rsid w:val="35234C75"/>
    <w:rsid w:val="35705531"/>
    <w:rsid w:val="3573152D"/>
    <w:rsid w:val="35A25130"/>
    <w:rsid w:val="35B56AD2"/>
    <w:rsid w:val="35C45365"/>
    <w:rsid w:val="35CC3EC9"/>
    <w:rsid w:val="36121469"/>
    <w:rsid w:val="36130C10"/>
    <w:rsid w:val="36173D86"/>
    <w:rsid w:val="362851AD"/>
    <w:rsid w:val="362936D8"/>
    <w:rsid w:val="36371DF8"/>
    <w:rsid w:val="366003CD"/>
    <w:rsid w:val="36624145"/>
    <w:rsid w:val="367A3E81"/>
    <w:rsid w:val="36945682"/>
    <w:rsid w:val="36B5155F"/>
    <w:rsid w:val="36BA7D54"/>
    <w:rsid w:val="36E331BC"/>
    <w:rsid w:val="36FA7397"/>
    <w:rsid w:val="36FD68B7"/>
    <w:rsid w:val="37044B95"/>
    <w:rsid w:val="372205D8"/>
    <w:rsid w:val="372C02AF"/>
    <w:rsid w:val="374B2E2B"/>
    <w:rsid w:val="37537F32"/>
    <w:rsid w:val="37634912"/>
    <w:rsid w:val="37914BB5"/>
    <w:rsid w:val="37923006"/>
    <w:rsid w:val="37C42DAC"/>
    <w:rsid w:val="37F04916"/>
    <w:rsid w:val="38057A1F"/>
    <w:rsid w:val="381648E1"/>
    <w:rsid w:val="381E69AC"/>
    <w:rsid w:val="382556DE"/>
    <w:rsid w:val="38460D95"/>
    <w:rsid w:val="38474AA6"/>
    <w:rsid w:val="38563F34"/>
    <w:rsid w:val="38577975"/>
    <w:rsid w:val="38A00371"/>
    <w:rsid w:val="38CA4224"/>
    <w:rsid w:val="392C4924"/>
    <w:rsid w:val="394F51A8"/>
    <w:rsid w:val="395A3831"/>
    <w:rsid w:val="396B44C6"/>
    <w:rsid w:val="396D1720"/>
    <w:rsid w:val="3970761D"/>
    <w:rsid w:val="3996244B"/>
    <w:rsid w:val="399F4BBE"/>
    <w:rsid w:val="39A23A56"/>
    <w:rsid w:val="39A5425C"/>
    <w:rsid w:val="39AE76A2"/>
    <w:rsid w:val="39B05C4E"/>
    <w:rsid w:val="39B81213"/>
    <w:rsid w:val="39B90C40"/>
    <w:rsid w:val="39D864CC"/>
    <w:rsid w:val="39DF68FE"/>
    <w:rsid w:val="3A062DEF"/>
    <w:rsid w:val="3A644A9D"/>
    <w:rsid w:val="3A6C3AB6"/>
    <w:rsid w:val="3A971ABC"/>
    <w:rsid w:val="3AA21847"/>
    <w:rsid w:val="3AAF09F0"/>
    <w:rsid w:val="3AB274DE"/>
    <w:rsid w:val="3ABB02C8"/>
    <w:rsid w:val="3AF1796E"/>
    <w:rsid w:val="3AFF4090"/>
    <w:rsid w:val="3B0024C1"/>
    <w:rsid w:val="3B2D4C93"/>
    <w:rsid w:val="3B52400F"/>
    <w:rsid w:val="3B7404F8"/>
    <w:rsid w:val="3B892174"/>
    <w:rsid w:val="3B9F72A2"/>
    <w:rsid w:val="3BB73008"/>
    <w:rsid w:val="3BD70274"/>
    <w:rsid w:val="3BD72EE0"/>
    <w:rsid w:val="3BF770DE"/>
    <w:rsid w:val="3BF85B9B"/>
    <w:rsid w:val="3C107679"/>
    <w:rsid w:val="3C137C90"/>
    <w:rsid w:val="3C6F45D6"/>
    <w:rsid w:val="3C7517F4"/>
    <w:rsid w:val="3C862451"/>
    <w:rsid w:val="3C920BB5"/>
    <w:rsid w:val="3C964B49"/>
    <w:rsid w:val="3CB43221"/>
    <w:rsid w:val="3CCF1733"/>
    <w:rsid w:val="3CD35B96"/>
    <w:rsid w:val="3CEA4C17"/>
    <w:rsid w:val="3CED6194"/>
    <w:rsid w:val="3CF312E5"/>
    <w:rsid w:val="3D1C29FD"/>
    <w:rsid w:val="3D273ACC"/>
    <w:rsid w:val="3D281174"/>
    <w:rsid w:val="3D5D4D45"/>
    <w:rsid w:val="3D776245"/>
    <w:rsid w:val="3DB33F08"/>
    <w:rsid w:val="3DC720CB"/>
    <w:rsid w:val="3DD86164"/>
    <w:rsid w:val="3DF800E0"/>
    <w:rsid w:val="3DFF3934"/>
    <w:rsid w:val="3E2D2AAB"/>
    <w:rsid w:val="3E313FE3"/>
    <w:rsid w:val="3E345210"/>
    <w:rsid w:val="3E4949D0"/>
    <w:rsid w:val="3E6E73FF"/>
    <w:rsid w:val="3E753D15"/>
    <w:rsid w:val="3EAD7F28"/>
    <w:rsid w:val="3EC534C3"/>
    <w:rsid w:val="3ED16F24"/>
    <w:rsid w:val="3ED2777C"/>
    <w:rsid w:val="3EDA0AA2"/>
    <w:rsid w:val="3EFD248D"/>
    <w:rsid w:val="3F4B1E65"/>
    <w:rsid w:val="3F546C30"/>
    <w:rsid w:val="3FA05CDE"/>
    <w:rsid w:val="3FBC4A5C"/>
    <w:rsid w:val="40194186"/>
    <w:rsid w:val="402C7343"/>
    <w:rsid w:val="403B25BC"/>
    <w:rsid w:val="403E4C1E"/>
    <w:rsid w:val="404E340E"/>
    <w:rsid w:val="407056B1"/>
    <w:rsid w:val="40741318"/>
    <w:rsid w:val="408C2DC6"/>
    <w:rsid w:val="40AA4D24"/>
    <w:rsid w:val="40AC3C03"/>
    <w:rsid w:val="40E728BE"/>
    <w:rsid w:val="41015EC7"/>
    <w:rsid w:val="411C1948"/>
    <w:rsid w:val="41390F1D"/>
    <w:rsid w:val="41474973"/>
    <w:rsid w:val="416A7C0C"/>
    <w:rsid w:val="416C6C29"/>
    <w:rsid w:val="417606EA"/>
    <w:rsid w:val="41853921"/>
    <w:rsid w:val="41946B8D"/>
    <w:rsid w:val="41A45854"/>
    <w:rsid w:val="41A86A2D"/>
    <w:rsid w:val="41BE442C"/>
    <w:rsid w:val="41BF457E"/>
    <w:rsid w:val="41D236B8"/>
    <w:rsid w:val="41D946B6"/>
    <w:rsid w:val="41F2667F"/>
    <w:rsid w:val="41F81343"/>
    <w:rsid w:val="420326CE"/>
    <w:rsid w:val="421A15D8"/>
    <w:rsid w:val="421F484F"/>
    <w:rsid w:val="4233451A"/>
    <w:rsid w:val="423700DC"/>
    <w:rsid w:val="426545CD"/>
    <w:rsid w:val="42716954"/>
    <w:rsid w:val="42873F15"/>
    <w:rsid w:val="429B79FB"/>
    <w:rsid w:val="42D9688B"/>
    <w:rsid w:val="42DE7069"/>
    <w:rsid w:val="42F74D3D"/>
    <w:rsid w:val="43045194"/>
    <w:rsid w:val="430D5C33"/>
    <w:rsid w:val="43115990"/>
    <w:rsid w:val="43180297"/>
    <w:rsid w:val="43317379"/>
    <w:rsid w:val="43A14B70"/>
    <w:rsid w:val="43E05A11"/>
    <w:rsid w:val="44156D87"/>
    <w:rsid w:val="443B2270"/>
    <w:rsid w:val="447105FB"/>
    <w:rsid w:val="44986D94"/>
    <w:rsid w:val="44E421C9"/>
    <w:rsid w:val="44EE3048"/>
    <w:rsid w:val="45280308"/>
    <w:rsid w:val="45470400"/>
    <w:rsid w:val="454706EF"/>
    <w:rsid w:val="455412F1"/>
    <w:rsid w:val="455731FD"/>
    <w:rsid w:val="455B3BDA"/>
    <w:rsid w:val="456400F2"/>
    <w:rsid w:val="45686B2D"/>
    <w:rsid w:val="457C4AF8"/>
    <w:rsid w:val="458047D3"/>
    <w:rsid w:val="458D2B90"/>
    <w:rsid w:val="45996BE7"/>
    <w:rsid w:val="45A51E6B"/>
    <w:rsid w:val="45D17B3F"/>
    <w:rsid w:val="46040BC2"/>
    <w:rsid w:val="460A2444"/>
    <w:rsid w:val="46120099"/>
    <w:rsid w:val="461C16C9"/>
    <w:rsid w:val="46312A16"/>
    <w:rsid w:val="465343DC"/>
    <w:rsid w:val="465515D1"/>
    <w:rsid w:val="468005C9"/>
    <w:rsid w:val="468D7990"/>
    <w:rsid w:val="46AE6C67"/>
    <w:rsid w:val="46B75DE7"/>
    <w:rsid w:val="46DB0F67"/>
    <w:rsid w:val="46EE732F"/>
    <w:rsid w:val="46FA774D"/>
    <w:rsid w:val="475C073D"/>
    <w:rsid w:val="47693075"/>
    <w:rsid w:val="476A5E33"/>
    <w:rsid w:val="47A96F02"/>
    <w:rsid w:val="47AD078B"/>
    <w:rsid w:val="47B75973"/>
    <w:rsid w:val="47C00CCC"/>
    <w:rsid w:val="47D247C1"/>
    <w:rsid w:val="47DB3D58"/>
    <w:rsid w:val="47EF1560"/>
    <w:rsid w:val="47F83250"/>
    <w:rsid w:val="47FD3753"/>
    <w:rsid w:val="480B2A4B"/>
    <w:rsid w:val="481F1E2F"/>
    <w:rsid w:val="484D2D68"/>
    <w:rsid w:val="4854227B"/>
    <w:rsid w:val="486A6E89"/>
    <w:rsid w:val="487972C3"/>
    <w:rsid w:val="488E3391"/>
    <w:rsid w:val="48977AAB"/>
    <w:rsid w:val="489D7D33"/>
    <w:rsid w:val="48A24875"/>
    <w:rsid w:val="48AE4431"/>
    <w:rsid w:val="48CA3D62"/>
    <w:rsid w:val="490746D8"/>
    <w:rsid w:val="49090450"/>
    <w:rsid w:val="49213ACE"/>
    <w:rsid w:val="4939277B"/>
    <w:rsid w:val="494476DB"/>
    <w:rsid w:val="497C48E1"/>
    <w:rsid w:val="49854D94"/>
    <w:rsid w:val="49A81A17"/>
    <w:rsid w:val="49AE449B"/>
    <w:rsid w:val="49BC3715"/>
    <w:rsid w:val="4A284753"/>
    <w:rsid w:val="4A607280"/>
    <w:rsid w:val="4A850A29"/>
    <w:rsid w:val="4A8F2A37"/>
    <w:rsid w:val="4A9042B9"/>
    <w:rsid w:val="4A9C0D35"/>
    <w:rsid w:val="4AB11C37"/>
    <w:rsid w:val="4ACD35BC"/>
    <w:rsid w:val="4AE211A7"/>
    <w:rsid w:val="4AF21B78"/>
    <w:rsid w:val="4B082949"/>
    <w:rsid w:val="4B090257"/>
    <w:rsid w:val="4B2345ED"/>
    <w:rsid w:val="4B2652EA"/>
    <w:rsid w:val="4B32062C"/>
    <w:rsid w:val="4B39086D"/>
    <w:rsid w:val="4B466595"/>
    <w:rsid w:val="4B687D63"/>
    <w:rsid w:val="4B771A96"/>
    <w:rsid w:val="4B7B1CE9"/>
    <w:rsid w:val="4B7F239F"/>
    <w:rsid w:val="4B9444ED"/>
    <w:rsid w:val="4BAF3531"/>
    <w:rsid w:val="4BC93E5D"/>
    <w:rsid w:val="4BF476CE"/>
    <w:rsid w:val="4BF760FF"/>
    <w:rsid w:val="4C3B6474"/>
    <w:rsid w:val="4C4B313E"/>
    <w:rsid w:val="4C5949D3"/>
    <w:rsid w:val="4CB6269D"/>
    <w:rsid w:val="4CC25F9D"/>
    <w:rsid w:val="4CDB7BE2"/>
    <w:rsid w:val="4D057181"/>
    <w:rsid w:val="4D1E00B1"/>
    <w:rsid w:val="4D2911B4"/>
    <w:rsid w:val="4D3E5908"/>
    <w:rsid w:val="4D7759E0"/>
    <w:rsid w:val="4D844549"/>
    <w:rsid w:val="4D9F58BC"/>
    <w:rsid w:val="4DAE0FDA"/>
    <w:rsid w:val="4DC16DD5"/>
    <w:rsid w:val="4DF279A5"/>
    <w:rsid w:val="4DF710B9"/>
    <w:rsid w:val="4E11118C"/>
    <w:rsid w:val="4E1F30D8"/>
    <w:rsid w:val="4E3C1E75"/>
    <w:rsid w:val="4E9B6BD0"/>
    <w:rsid w:val="4EC21C17"/>
    <w:rsid w:val="4EF44D0C"/>
    <w:rsid w:val="4F19577B"/>
    <w:rsid w:val="4F38383D"/>
    <w:rsid w:val="4F4061EF"/>
    <w:rsid w:val="4F552641"/>
    <w:rsid w:val="4F661FBC"/>
    <w:rsid w:val="4F6C798B"/>
    <w:rsid w:val="4F6F34A3"/>
    <w:rsid w:val="4F7B372A"/>
    <w:rsid w:val="4FD55530"/>
    <w:rsid w:val="4FDD5C90"/>
    <w:rsid w:val="4FF82FCD"/>
    <w:rsid w:val="4FFE04B0"/>
    <w:rsid w:val="5041029B"/>
    <w:rsid w:val="50516498"/>
    <w:rsid w:val="505A7D88"/>
    <w:rsid w:val="50662C23"/>
    <w:rsid w:val="507765E7"/>
    <w:rsid w:val="507E7976"/>
    <w:rsid w:val="50AF598D"/>
    <w:rsid w:val="50B4458D"/>
    <w:rsid w:val="50C362AB"/>
    <w:rsid w:val="51007FA3"/>
    <w:rsid w:val="511B1181"/>
    <w:rsid w:val="51340035"/>
    <w:rsid w:val="516F72BF"/>
    <w:rsid w:val="518A76AB"/>
    <w:rsid w:val="519C5E60"/>
    <w:rsid w:val="519D5BDA"/>
    <w:rsid w:val="51AB29F7"/>
    <w:rsid w:val="51BB2504"/>
    <w:rsid w:val="51C8081F"/>
    <w:rsid w:val="51FD15A5"/>
    <w:rsid w:val="52071803"/>
    <w:rsid w:val="52355AD3"/>
    <w:rsid w:val="5257381F"/>
    <w:rsid w:val="52922E86"/>
    <w:rsid w:val="52AC137A"/>
    <w:rsid w:val="52BE5CF2"/>
    <w:rsid w:val="52C54C67"/>
    <w:rsid w:val="52F76623"/>
    <w:rsid w:val="530B59B8"/>
    <w:rsid w:val="530E0DEA"/>
    <w:rsid w:val="53212F4A"/>
    <w:rsid w:val="532540D9"/>
    <w:rsid w:val="53336B18"/>
    <w:rsid w:val="53394028"/>
    <w:rsid w:val="53BC2E2C"/>
    <w:rsid w:val="53C35BF7"/>
    <w:rsid w:val="53C97237"/>
    <w:rsid w:val="53E10174"/>
    <w:rsid w:val="53F41DD9"/>
    <w:rsid w:val="54071AB6"/>
    <w:rsid w:val="540B7773"/>
    <w:rsid w:val="5429660D"/>
    <w:rsid w:val="542C1497"/>
    <w:rsid w:val="543950F3"/>
    <w:rsid w:val="543D6D05"/>
    <w:rsid w:val="543F2D91"/>
    <w:rsid w:val="544155E7"/>
    <w:rsid w:val="54492049"/>
    <w:rsid w:val="545258C7"/>
    <w:rsid w:val="546572D0"/>
    <w:rsid w:val="546724CF"/>
    <w:rsid w:val="5475511D"/>
    <w:rsid w:val="54CB6E0A"/>
    <w:rsid w:val="54F226E1"/>
    <w:rsid w:val="54F515D9"/>
    <w:rsid w:val="54F975F9"/>
    <w:rsid w:val="551268DF"/>
    <w:rsid w:val="551E1E07"/>
    <w:rsid w:val="55403CA1"/>
    <w:rsid w:val="555F56E8"/>
    <w:rsid w:val="55693CE8"/>
    <w:rsid w:val="55707C6C"/>
    <w:rsid w:val="558351D4"/>
    <w:rsid w:val="558E739C"/>
    <w:rsid w:val="55D4601D"/>
    <w:rsid w:val="55ED5B08"/>
    <w:rsid w:val="56024BA5"/>
    <w:rsid w:val="56025CD4"/>
    <w:rsid w:val="56104CE4"/>
    <w:rsid w:val="562B4992"/>
    <w:rsid w:val="564B0F9E"/>
    <w:rsid w:val="565B4608"/>
    <w:rsid w:val="568A2DED"/>
    <w:rsid w:val="56A718DB"/>
    <w:rsid w:val="56A81B8F"/>
    <w:rsid w:val="56BC4D54"/>
    <w:rsid w:val="56D96D56"/>
    <w:rsid w:val="56FA24F2"/>
    <w:rsid w:val="56FF51FF"/>
    <w:rsid w:val="57012BCC"/>
    <w:rsid w:val="5720324A"/>
    <w:rsid w:val="57233722"/>
    <w:rsid w:val="57324824"/>
    <w:rsid w:val="574F3E1A"/>
    <w:rsid w:val="57544F8D"/>
    <w:rsid w:val="578D4FF3"/>
    <w:rsid w:val="579932E7"/>
    <w:rsid w:val="57BB500C"/>
    <w:rsid w:val="57FA1187"/>
    <w:rsid w:val="580C2213"/>
    <w:rsid w:val="58270784"/>
    <w:rsid w:val="58425960"/>
    <w:rsid w:val="58492617"/>
    <w:rsid w:val="58562D17"/>
    <w:rsid w:val="587205FE"/>
    <w:rsid w:val="58B368A4"/>
    <w:rsid w:val="58BA0E76"/>
    <w:rsid w:val="58D50866"/>
    <w:rsid w:val="58DD3648"/>
    <w:rsid w:val="58E676EF"/>
    <w:rsid w:val="58EE5656"/>
    <w:rsid w:val="58F72073"/>
    <w:rsid w:val="58FB6EFD"/>
    <w:rsid w:val="591A64F6"/>
    <w:rsid w:val="59233B7F"/>
    <w:rsid w:val="59442CAF"/>
    <w:rsid w:val="594A4782"/>
    <w:rsid w:val="594F171B"/>
    <w:rsid w:val="595C45CC"/>
    <w:rsid w:val="596F0026"/>
    <w:rsid w:val="597162CA"/>
    <w:rsid w:val="598558D1"/>
    <w:rsid w:val="598C6B2B"/>
    <w:rsid w:val="59BE6464"/>
    <w:rsid w:val="59C7413C"/>
    <w:rsid w:val="59FA50AD"/>
    <w:rsid w:val="5A0758FA"/>
    <w:rsid w:val="5A0C1B4F"/>
    <w:rsid w:val="5A1C166B"/>
    <w:rsid w:val="5A3516B7"/>
    <w:rsid w:val="5A3602CB"/>
    <w:rsid w:val="5A4F0DF0"/>
    <w:rsid w:val="5A5B2AD6"/>
    <w:rsid w:val="5A623E64"/>
    <w:rsid w:val="5A8F0AE0"/>
    <w:rsid w:val="5ABC5D39"/>
    <w:rsid w:val="5ADD72FD"/>
    <w:rsid w:val="5AE42ACB"/>
    <w:rsid w:val="5AF716E0"/>
    <w:rsid w:val="5B135DDD"/>
    <w:rsid w:val="5B197157"/>
    <w:rsid w:val="5B341533"/>
    <w:rsid w:val="5B6932ED"/>
    <w:rsid w:val="5B8338EA"/>
    <w:rsid w:val="5B987EC3"/>
    <w:rsid w:val="5B993534"/>
    <w:rsid w:val="5B9D00F7"/>
    <w:rsid w:val="5BB75F16"/>
    <w:rsid w:val="5BD47719"/>
    <w:rsid w:val="5BDA5B34"/>
    <w:rsid w:val="5BF76936"/>
    <w:rsid w:val="5C3F5CCB"/>
    <w:rsid w:val="5C404D78"/>
    <w:rsid w:val="5C613156"/>
    <w:rsid w:val="5C6679BA"/>
    <w:rsid w:val="5C865F3D"/>
    <w:rsid w:val="5C9117A1"/>
    <w:rsid w:val="5C98591B"/>
    <w:rsid w:val="5CAF2191"/>
    <w:rsid w:val="5CD8308F"/>
    <w:rsid w:val="5CFC7B5E"/>
    <w:rsid w:val="5CFF2BFD"/>
    <w:rsid w:val="5D0C00B7"/>
    <w:rsid w:val="5D2A5693"/>
    <w:rsid w:val="5D453A7B"/>
    <w:rsid w:val="5D4F0A51"/>
    <w:rsid w:val="5D551A5E"/>
    <w:rsid w:val="5D5A3F80"/>
    <w:rsid w:val="5D5F468B"/>
    <w:rsid w:val="5D730896"/>
    <w:rsid w:val="5D8335DC"/>
    <w:rsid w:val="5DFD09B2"/>
    <w:rsid w:val="5E051485"/>
    <w:rsid w:val="5E387B48"/>
    <w:rsid w:val="5E4F2952"/>
    <w:rsid w:val="5E5B61FD"/>
    <w:rsid w:val="5E873E9A"/>
    <w:rsid w:val="5EB35C3D"/>
    <w:rsid w:val="5EBA4AA2"/>
    <w:rsid w:val="5ED752A6"/>
    <w:rsid w:val="5F17532D"/>
    <w:rsid w:val="5F212DE9"/>
    <w:rsid w:val="5F4B1198"/>
    <w:rsid w:val="5F5366C5"/>
    <w:rsid w:val="5F59171A"/>
    <w:rsid w:val="5F635067"/>
    <w:rsid w:val="5FB0306B"/>
    <w:rsid w:val="5FFF5CB2"/>
    <w:rsid w:val="60166725"/>
    <w:rsid w:val="60315731"/>
    <w:rsid w:val="605F51CD"/>
    <w:rsid w:val="60867BBC"/>
    <w:rsid w:val="609942C4"/>
    <w:rsid w:val="609E371C"/>
    <w:rsid w:val="609E7D46"/>
    <w:rsid w:val="60A21194"/>
    <w:rsid w:val="60A76A75"/>
    <w:rsid w:val="60C77A44"/>
    <w:rsid w:val="60FB6F86"/>
    <w:rsid w:val="611D0AE5"/>
    <w:rsid w:val="61757CC1"/>
    <w:rsid w:val="61B054B5"/>
    <w:rsid w:val="61B80434"/>
    <w:rsid w:val="61D35BDF"/>
    <w:rsid w:val="61F23D20"/>
    <w:rsid w:val="61FE26C5"/>
    <w:rsid w:val="620138B3"/>
    <w:rsid w:val="623052EC"/>
    <w:rsid w:val="623A0AD8"/>
    <w:rsid w:val="62481B92"/>
    <w:rsid w:val="624900B1"/>
    <w:rsid w:val="624D7113"/>
    <w:rsid w:val="626506B7"/>
    <w:rsid w:val="62656AC2"/>
    <w:rsid w:val="62692FFB"/>
    <w:rsid w:val="626D33A6"/>
    <w:rsid w:val="62775FD3"/>
    <w:rsid w:val="62B162F2"/>
    <w:rsid w:val="62C9714A"/>
    <w:rsid w:val="62D52BDD"/>
    <w:rsid w:val="62D66DA6"/>
    <w:rsid w:val="62F1419D"/>
    <w:rsid w:val="62FD1A18"/>
    <w:rsid w:val="630D181D"/>
    <w:rsid w:val="63140A70"/>
    <w:rsid w:val="63287B05"/>
    <w:rsid w:val="632F49D2"/>
    <w:rsid w:val="6332505A"/>
    <w:rsid w:val="63512CC8"/>
    <w:rsid w:val="6368244F"/>
    <w:rsid w:val="637D3ABD"/>
    <w:rsid w:val="63855CEE"/>
    <w:rsid w:val="63A84E9F"/>
    <w:rsid w:val="63B1028B"/>
    <w:rsid w:val="63B55005"/>
    <w:rsid w:val="63CD500C"/>
    <w:rsid w:val="64065861"/>
    <w:rsid w:val="640B690B"/>
    <w:rsid w:val="641717D3"/>
    <w:rsid w:val="641C4767"/>
    <w:rsid w:val="642230A6"/>
    <w:rsid w:val="644F037C"/>
    <w:rsid w:val="64512B9D"/>
    <w:rsid w:val="645167C2"/>
    <w:rsid w:val="64615698"/>
    <w:rsid w:val="64641730"/>
    <w:rsid w:val="649A6C10"/>
    <w:rsid w:val="64A842B2"/>
    <w:rsid w:val="64BC23C3"/>
    <w:rsid w:val="64BF5744"/>
    <w:rsid w:val="64D616D7"/>
    <w:rsid w:val="64DD0E9D"/>
    <w:rsid w:val="64ED0592"/>
    <w:rsid w:val="64ED6F5D"/>
    <w:rsid w:val="65183A9D"/>
    <w:rsid w:val="652977EB"/>
    <w:rsid w:val="652F0DE7"/>
    <w:rsid w:val="65385553"/>
    <w:rsid w:val="656C1AA8"/>
    <w:rsid w:val="6578278E"/>
    <w:rsid w:val="65983901"/>
    <w:rsid w:val="65CD7950"/>
    <w:rsid w:val="65EE7FC1"/>
    <w:rsid w:val="65F27168"/>
    <w:rsid w:val="65FE4FD8"/>
    <w:rsid w:val="66484B66"/>
    <w:rsid w:val="667C7F0F"/>
    <w:rsid w:val="668D29F3"/>
    <w:rsid w:val="66AF0431"/>
    <w:rsid w:val="66C0178D"/>
    <w:rsid w:val="66D346C0"/>
    <w:rsid w:val="66EC665B"/>
    <w:rsid w:val="66F10F32"/>
    <w:rsid w:val="66FB5425"/>
    <w:rsid w:val="67081DFA"/>
    <w:rsid w:val="673E000D"/>
    <w:rsid w:val="67626A74"/>
    <w:rsid w:val="67A02C45"/>
    <w:rsid w:val="67AD3F0D"/>
    <w:rsid w:val="67CB5C1D"/>
    <w:rsid w:val="67CF7F96"/>
    <w:rsid w:val="67DD3B6B"/>
    <w:rsid w:val="67E22141"/>
    <w:rsid w:val="67E91721"/>
    <w:rsid w:val="67F137FC"/>
    <w:rsid w:val="67FD5455"/>
    <w:rsid w:val="680047E1"/>
    <w:rsid w:val="68030A35"/>
    <w:rsid w:val="681E56A7"/>
    <w:rsid w:val="683B0E42"/>
    <w:rsid w:val="683C7AA3"/>
    <w:rsid w:val="685124EF"/>
    <w:rsid w:val="68684D3C"/>
    <w:rsid w:val="6879598D"/>
    <w:rsid w:val="688A201E"/>
    <w:rsid w:val="688E1CDD"/>
    <w:rsid w:val="68BD0DC0"/>
    <w:rsid w:val="68CF4402"/>
    <w:rsid w:val="68DF2A72"/>
    <w:rsid w:val="68FA7805"/>
    <w:rsid w:val="690031C6"/>
    <w:rsid w:val="693617BA"/>
    <w:rsid w:val="69662549"/>
    <w:rsid w:val="696734F8"/>
    <w:rsid w:val="696D7299"/>
    <w:rsid w:val="69761282"/>
    <w:rsid w:val="69857660"/>
    <w:rsid w:val="69A2602B"/>
    <w:rsid w:val="6A1D29A9"/>
    <w:rsid w:val="6A213016"/>
    <w:rsid w:val="6A544C50"/>
    <w:rsid w:val="6A650F4E"/>
    <w:rsid w:val="6A812F43"/>
    <w:rsid w:val="6AA45DD3"/>
    <w:rsid w:val="6AA46197"/>
    <w:rsid w:val="6B071989"/>
    <w:rsid w:val="6B0A032C"/>
    <w:rsid w:val="6B3E1D84"/>
    <w:rsid w:val="6B6940CF"/>
    <w:rsid w:val="6B907BEA"/>
    <w:rsid w:val="6BB75087"/>
    <w:rsid w:val="6BD63696"/>
    <w:rsid w:val="6BD72EFC"/>
    <w:rsid w:val="6BE266BD"/>
    <w:rsid w:val="6BE86836"/>
    <w:rsid w:val="6C292D19"/>
    <w:rsid w:val="6C2D16C4"/>
    <w:rsid w:val="6C431DBB"/>
    <w:rsid w:val="6C48270C"/>
    <w:rsid w:val="6C4B6506"/>
    <w:rsid w:val="6C604B39"/>
    <w:rsid w:val="6C8B5A3F"/>
    <w:rsid w:val="6C9360D0"/>
    <w:rsid w:val="6C970E05"/>
    <w:rsid w:val="6C9D7002"/>
    <w:rsid w:val="6CA04B5A"/>
    <w:rsid w:val="6CB10EEF"/>
    <w:rsid w:val="6CD66F89"/>
    <w:rsid w:val="6CDD299F"/>
    <w:rsid w:val="6CF161D6"/>
    <w:rsid w:val="6CF30226"/>
    <w:rsid w:val="6D1A2F3E"/>
    <w:rsid w:val="6D1D479D"/>
    <w:rsid w:val="6D2A0812"/>
    <w:rsid w:val="6D2B458A"/>
    <w:rsid w:val="6D30394E"/>
    <w:rsid w:val="6D577DD2"/>
    <w:rsid w:val="6D6B47A0"/>
    <w:rsid w:val="6D714D17"/>
    <w:rsid w:val="6D7D5598"/>
    <w:rsid w:val="6D9143ED"/>
    <w:rsid w:val="6DD63BA1"/>
    <w:rsid w:val="6DFA7D32"/>
    <w:rsid w:val="6E3C08A1"/>
    <w:rsid w:val="6E7268DA"/>
    <w:rsid w:val="6EC9405A"/>
    <w:rsid w:val="6EE05020"/>
    <w:rsid w:val="6EEC49B2"/>
    <w:rsid w:val="6EF80F6C"/>
    <w:rsid w:val="6F0A7537"/>
    <w:rsid w:val="6F0D3A7C"/>
    <w:rsid w:val="6F121C0D"/>
    <w:rsid w:val="6F4A78EB"/>
    <w:rsid w:val="6F6F4CB2"/>
    <w:rsid w:val="6F7552F5"/>
    <w:rsid w:val="6F7637BF"/>
    <w:rsid w:val="6F8152BA"/>
    <w:rsid w:val="6F891808"/>
    <w:rsid w:val="6FAE57BF"/>
    <w:rsid w:val="6FC0420B"/>
    <w:rsid w:val="6FC671DF"/>
    <w:rsid w:val="6FCE7B7A"/>
    <w:rsid w:val="6FD20CED"/>
    <w:rsid w:val="6FEA6167"/>
    <w:rsid w:val="70157D3D"/>
    <w:rsid w:val="701F1A7A"/>
    <w:rsid w:val="70417D86"/>
    <w:rsid w:val="705D119B"/>
    <w:rsid w:val="707770D3"/>
    <w:rsid w:val="70943227"/>
    <w:rsid w:val="709F1B92"/>
    <w:rsid w:val="70C3705F"/>
    <w:rsid w:val="70CD5398"/>
    <w:rsid w:val="711F5CA0"/>
    <w:rsid w:val="712A55A1"/>
    <w:rsid w:val="71574483"/>
    <w:rsid w:val="716A20EA"/>
    <w:rsid w:val="716ABDEB"/>
    <w:rsid w:val="71706A0F"/>
    <w:rsid w:val="71B96608"/>
    <w:rsid w:val="71CA25C3"/>
    <w:rsid w:val="71EE0A1C"/>
    <w:rsid w:val="71EF08E0"/>
    <w:rsid w:val="71FA6D52"/>
    <w:rsid w:val="720A1446"/>
    <w:rsid w:val="72123F53"/>
    <w:rsid w:val="722A12B4"/>
    <w:rsid w:val="722B5A33"/>
    <w:rsid w:val="72337DAA"/>
    <w:rsid w:val="7255512B"/>
    <w:rsid w:val="7255539E"/>
    <w:rsid w:val="727147ED"/>
    <w:rsid w:val="72886033"/>
    <w:rsid w:val="729B6F13"/>
    <w:rsid w:val="72D96708"/>
    <w:rsid w:val="72ED68F0"/>
    <w:rsid w:val="73353BBD"/>
    <w:rsid w:val="733A1014"/>
    <w:rsid w:val="73610D05"/>
    <w:rsid w:val="739A1D71"/>
    <w:rsid w:val="73AA445A"/>
    <w:rsid w:val="73C848E1"/>
    <w:rsid w:val="73CF136E"/>
    <w:rsid w:val="73E06B46"/>
    <w:rsid w:val="73E87F39"/>
    <w:rsid w:val="73FC6DEE"/>
    <w:rsid w:val="73FE5CD5"/>
    <w:rsid w:val="741933C6"/>
    <w:rsid w:val="743065CD"/>
    <w:rsid w:val="74645CC3"/>
    <w:rsid w:val="746D21F2"/>
    <w:rsid w:val="74EB5B7C"/>
    <w:rsid w:val="74EC2851"/>
    <w:rsid w:val="74FF2584"/>
    <w:rsid w:val="751461C2"/>
    <w:rsid w:val="752078BD"/>
    <w:rsid w:val="753354C5"/>
    <w:rsid w:val="755573EA"/>
    <w:rsid w:val="755B32C8"/>
    <w:rsid w:val="75700C63"/>
    <w:rsid w:val="75C27BB7"/>
    <w:rsid w:val="75DC5F5B"/>
    <w:rsid w:val="760B6610"/>
    <w:rsid w:val="76604B26"/>
    <w:rsid w:val="766F20D5"/>
    <w:rsid w:val="7677439C"/>
    <w:rsid w:val="76A877B0"/>
    <w:rsid w:val="76DA031C"/>
    <w:rsid w:val="76F279BA"/>
    <w:rsid w:val="76FD6F97"/>
    <w:rsid w:val="772E2A7E"/>
    <w:rsid w:val="774D6709"/>
    <w:rsid w:val="777A34B7"/>
    <w:rsid w:val="778A1FCE"/>
    <w:rsid w:val="779D7E32"/>
    <w:rsid w:val="77B22A69"/>
    <w:rsid w:val="77C51023"/>
    <w:rsid w:val="77DE1B76"/>
    <w:rsid w:val="77F37B85"/>
    <w:rsid w:val="781F3726"/>
    <w:rsid w:val="783A5C3F"/>
    <w:rsid w:val="783E36BD"/>
    <w:rsid w:val="786912C0"/>
    <w:rsid w:val="7883527A"/>
    <w:rsid w:val="789D18C2"/>
    <w:rsid w:val="78A81F8C"/>
    <w:rsid w:val="78D45AD6"/>
    <w:rsid w:val="78DB22B9"/>
    <w:rsid w:val="78E54344"/>
    <w:rsid w:val="790D7B5F"/>
    <w:rsid w:val="792F28DA"/>
    <w:rsid w:val="793706BF"/>
    <w:rsid w:val="795473DE"/>
    <w:rsid w:val="79593375"/>
    <w:rsid w:val="796B6F1B"/>
    <w:rsid w:val="79797BA6"/>
    <w:rsid w:val="7989747E"/>
    <w:rsid w:val="798D0A3C"/>
    <w:rsid w:val="798E6DA3"/>
    <w:rsid w:val="79A766A2"/>
    <w:rsid w:val="79B801C8"/>
    <w:rsid w:val="79DC2E94"/>
    <w:rsid w:val="79DC3E13"/>
    <w:rsid w:val="79F97C33"/>
    <w:rsid w:val="7A243C29"/>
    <w:rsid w:val="7A356A48"/>
    <w:rsid w:val="7A3D76F8"/>
    <w:rsid w:val="7A477AC9"/>
    <w:rsid w:val="7A7056EA"/>
    <w:rsid w:val="7A7C4621"/>
    <w:rsid w:val="7A8E3DCF"/>
    <w:rsid w:val="7A8F4E38"/>
    <w:rsid w:val="7A9A4A06"/>
    <w:rsid w:val="7AAB6ACF"/>
    <w:rsid w:val="7ABA3C6D"/>
    <w:rsid w:val="7AC96428"/>
    <w:rsid w:val="7AD873B0"/>
    <w:rsid w:val="7B072174"/>
    <w:rsid w:val="7B2F44BB"/>
    <w:rsid w:val="7B4C494A"/>
    <w:rsid w:val="7B6A3192"/>
    <w:rsid w:val="7B6D0E88"/>
    <w:rsid w:val="7B8F3682"/>
    <w:rsid w:val="7B946165"/>
    <w:rsid w:val="7B9559F0"/>
    <w:rsid w:val="7BA43175"/>
    <w:rsid w:val="7BB20D13"/>
    <w:rsid w:val="7BC2255D"/>
    <w:rsid w:val="7BEE4D6E"/>
    <w:rsid w:val="7C113177"/>
    <w:rsid w:val="7C2D426F"/>
    <w:rsid w:val="7C463556"/>
    <w:rsid w:val="7C52743D"/>
    <w:rsid w:val="7C690B07"/>
    <w:rsid w:val="7C793031"/>
    <w:rsid w:val="7C887303"/>
    <w:rsid w:val="7C9378B1"/>
    <w:rsid w:val="7CB34BB4"/>
    <w:rsid w:val="7CF60710"/>
    <w:rsid w:val="7D1C7A4B"/>
    <w:rsid w:val="7D23702C"/>
    <w:rsid w:val="7D24527D"/>
    <w:rsid w:val="7D424FE9"/>
    <w:rsid w:val="7D4352E2"/>
    <w:rsid w:val="7D91263D"/>
    <w:rsid w:val="7DA82F1F"/>
    <w:rsid w:val="7DAC0DCF"/>
    <w:rsid w:val="7DBE3BDC"/>
    <w:rsid w:val="7E026750"/>
    <w:rsid w:val="7E327526"/>
    <w:rsid w:val="7E8B6C36"/>
    <w:rsid w:val="7E9E7F46"/>
    <w:rsid w:val="7EC7152E"/>
    <w:rsid w:val="7ED14F91"/>
    <w:rsid w:val="7EE11382"/>
    <w:rsid w:val="7EFD0E67"/>
    <w:rsid w:val="7F167CC1"/>
    <w:rsid w:val="7F3B7C33"/>
    <w:rsid w:val="7F482D79"/>
    <w:rsid w:val="7F5213A6"/>
    <w:rsid w:val="7F606FAC"/>
    <w:rsid w:val="7F652505"/>
    <w:rsid w:val="7F6F6558"/>
    <w:rsid w:val="7F972EDD"/>
    <w:rsid w:val="7FBF5BEF"/>
    <w:rsid w:val="7FC31357"/>
    <w:rsid w:val="7FCF1C21"/>
    <w:rsid w:val="7FEC690D"/>
    <w:rsid w:val="FDFFB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9"/>
    <w:qFormat/>
    <w:uiPriority w:val="9"/>
    <w:pPr>
      <w:keepNext/>
      <w:keepLines/>
      <w:spacing w:line="240" w:lineRule="auto"/>
      <w:ind w:firstLine="0" w:firstLineChars="0"/>
      <w:jc w:val="center"/>
      <w:outlineLvl w:val="0"/>
    </w:pPr>
    <w:rPr>
      <w:rFonts w:ascii="Calibri" w:hAnsi="Calibri" w:eastAsia="方正小标宋_GBK"/>
      <w:bCs/>
      <w:kern w:val="44"/>
      <w:sz w:val="36"/>
      <w:szCs w:val="44"/>
    </w:rPr>
  </w:style>
  <w:style w:type="paragraph" w:styleId="4">
    <w:name w:val="heading 2"/>
    <w:basedOn w:val="1"/>
    <w:next w:val="1"/>
    <w:link w:val="44"/>
    <w:qFormat/>
    <w:uiPriority w:val="9"/>
    <w:pPr>
      <w:keepNext/>
      <w:keepLines/>
      <w:spacing w:line="240" w:lineRule="auto"/>
      <w:ind w:firstLine="0" w:firstLineChars="0"/>
      <w:jc w:val="center"/>
      <w:outlineLvl w:val="1"/>
    </w:pPr>
    <w:rPr>
      <w:rFonts w:ascii="Cambria" w:hAnsi="Cambria" w:eastAsia="黑体"/>
      <w:bCs/>
      <w:szCs w:val="32"/>
    </w:rPr>
  </w:style>
  <w:style w:type="paragraph" w:styleId="5">
    <w:name w:val="heading 3"/>
    <w:basedOn w:val="1"/>
    <w:next w:val="1"/>
    <w:link w:val="40"/>
    <w:qFormat/>
    <w:uiPriority w:val="9"/>
    <w:pPr>
      <w:keepNext/>
      <w:keepLines/>
      <w:spacing w:before="50" w:beforeLines="50" w:after="50" w:afterLines="50" w:line="240" w:lineRule="auto"/>
      <w:outlineLvl w:val="2"/>
    </w:pPr>
    <w:rPr>
      <w:rFonts w:ascii="Calibri" w:hAnsi="Calibri" w:eastAsia="楷体_GB2312"/>
      <w:bCs/>
      <w:szCs w:val="32"/>
    </w:rPr>
  </w:style>
  <w:style w:type="paragraph" w:styleId="6">
    <w:name w:val="heading 4"/>
    <w:basedOn w:val="1"/>
    <w:next w:val="1"/>
    <w:link w:val="45"/>
    <w:qFormat/>
    <w:uiPriority w:val="9"/>
    <w:pPr>
      <w:keepNext/>
      <w:keepLines/>
      <w:spacing w:before="280" w:after="290" w:line="374" w:lineRule="auto"/>
      <w:outlineLvl w:val="3"/>
    </w:pPr>
    <w:rPr>
      <w:rFonts w:ascii="Cambria" w:hAnsi="Cambria"/>
      <w:b/>
      <w:bCs/>
      <w:sz w:val="28"/>
      <w:szCs w:val="28"/>
    </w:rPr>
  </w:style>
  <w:style w:type="character" w:default="1" w:styleId="22">
    <w:name w:val="Default Paragraph Font"/>
    <w:unhideWhenUsed/>
    <w:qFormat/>
    <w:uiPriority w:val="1"/>
  </w:style>
  <w:style w:type="table" w:default="1" w:styleId="3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43"/>
    <w:qFormat/>
    <w:uiPriority w:val="99"/>
  </w:style>
  <w:style w:type="paragraph" w:styleId="7">
    <w:name w:val="annotation subject"/>
    <w:basedOn w:val="8"/>
    <w:next w:val="8"/>
    <w:link w:val="52"/>
    <w:unhideWhenUsed/>
    <w:qFormat/>
    <w:uiPriority w:val="99"/>
    <w:rPr>
      <w:rFonts w:asciiTheme="minorHAnsi" w:hAnsiTheme="minorHAnsi" w:eastAsiaTheme="minorEastAsia" w:cstheme="minorBidi"/>
      <w:b/>
      <w:bCs/>
      <w:szCs w:val="22"/>
    </w:rPr>
  </w:style>
  <w:style w:type="paragraph" w:styleId="8">
    <w:name w:val="annotation text"/>
    <w:basedOn w:val="1"/>
    <w:link w:val="46"/>
    <w:qFormat/>
    <w:uiPriority w:val="0"/>
    <w:pPr>
      <w:jc w:val="left"/>
    </w:pPr>
  </w:style>
  <w:style w:type="paragraph" w:styleId="9">
    <w:name w:val="toc 7"/>
    <w:basedOn w:val="1"/>
    <w:next w:val="1"/>
    <w:unhideWhenUsed/>
    <w:qFormat/>
    <w:uiPriority w:val="39"/>
    <w:pPr>
      <w:ind w:left="2520" w:leftChars="1200" w:firstLine="0" w:firstLineChars="0"/>
    </w:pPr>
    <w:rPr>
      <w:rFonts w:asciiTheme="minorHAnsi" w:hAnsiTheme="minorHAnsi" w:eastAsiaTheme="minorEastAsia" w:cstheme="minorBidi"/>
      <w:sz w:val="21"/>
      <w:szCs w:val="22"/>
    </w:rPr>
  </w:style>
  <w:style w:type="paragraph" w:styleId="10">
    <w:name w:val="Normal Indent"/>
    <w:basedOn w:val="1"/>
    <w:next w:val="1"/>
    <w:link w:val="99"/>
    <w:unhideWhenUsed/>
    <w:qFormat/>
    <w:uiPriority w:val="0"/>
    <w:pPr>
      <w:ind w:firstLine="420"/>
    </w:pPr>
    <w:rPr>
      <w:rFonts w:ascii="Calibri" w:hAnsi="Calibri"/>
    </w:rPr>
  </w:style>
  <w:style w:type="paragraph" w:styleId="11">
    <w:name w:val="caption"/>
    <w:basedOn w:val="1"/>
    <w:next w:val="1"/>
    <w:link w:val="100"/>
    <w:qFormat/>
    <w:uiPriority w:val="35"/>
    <w:pPr>
      <w:keepNext/>
      <w:spacing w:line="560" w:lineRule="exact"/>
      <w:jc w:val="center"/>
    </w:pPr>
    <w:rPr>
      <w:rFonts w:ascii="Calibri Light" w:hAnsi="Calibri Light" w:eastAsia="黑体" w:cs="宋体"/>
      <w:b/>
      <w:sz w:val="24"/>
      <w:szCs w:val="20"/>
    </w:rPr>
  </w:style>
  <w:style w:type="paragraph" w:styleId="12">
    <w:name w:val="Body Text Indent"/>
    <w:basedOn w:val="1"/>
    <w:link w:val="47"/>
    <w:unhideWhenUsed/>
    <w:qFormat/>
    <w:uiPriority w:val="99"/>
    <w:pPr>
      <w:spacing w:after="120"/>
      <w:ind w:left="420" w:leftChars="200"/>
    </w:pPr>
    <w:rPr>
      <w:kern w:val="0"/>
      <w:sz w:val="20"/>
    </w:rPr>
  </w:style>
  <w:style w:type="paragraph" w:styleId="13">
    <w:name w:val="toc 3"/>
    <w:basedOn w:val="1"/>
    <w:next w:val="1"/>
    <w:qFormat/>
    <w:uiPriority w:val="39"/>
    <w:pPr>
      <w:ind w:left="840" w:leftChars="400"/>
    </w:pPr>
  </w:style>
  <w:style w:type="paragraph" w:styleId="14">
    <w:name w:val="Date"/>
    <w:basedOn w:val="1"/>
    <w:next w:val="1"/>
    <w:link w:val="48"/>
    <w:unhideWhenUsed/>
    <w:qFormat/>
    <w:uiPriority w:val="99"/>
    <w:pPr>
      <w:ind w:left="100" w:leftChars="2500"/>
    </w:pPr>
    <w:rPr>
      <w:rFonts w:ascii="Calibri" w:hAnsi="Calibri"/>
      <w:kern w:val="0"/>
      <w:sz w:val="20"/>
    </w:rPr>
  </w:style>
  <w:style w:type="paragraph" w:styleId="15">
    <w:name w:val="Balloon Text"/>
    <w:basedOn w:val="1"/>
    <w:link w:val="49"/>
    <w:unhideWhenUsed/>
    <w:qFormat/>
    <w:uiPriority w:val="99"/>
    <w:rPr>
      <w:kern w:val="0"/>
      <w:sz w:val="18"/>
      <w:szCs w:val="18"/>
    </w:rPr>
  </w:style>
  <w:style w:type="paragraph" w:styleId="16">
    <w:name w:val="footer"/>
    <w:basedOn w:val="1"/>
    <w:link w:val="50"/>
    <w:qFormat/>
    <w:uiPriority w:val="99"/>
    <w:pPr>
      <w:tabs>
        <w:tab w:val="center" w:pos="4153"/>
        <w:tab w:val="right" w:pos="8306"/>
      </w:tabs>
      <w:snapToGrid w:val="0"/>
      <w:jc w:val="left"/>
    </w:pPr>
    <w:rPr>
      <w:sz w:val="18"/>
      <w:szCs w:val="18"/>
    </w:rPr>
  </w:style>
  <w:style w:type="paragraph" w:styleId="17">
    <w:name w:val="Body Text First Indent 2"/>
    <w:basedOn w:val="12"/>
    <w:link w:val="53"/>
    <w:unhideWhenUsed/>
    <w:qFormat/>
    <w:uiPriority w:val="99"/>
    <w:pPr>
      <w:ind w:firstLine="210"/>
    </w:pPr>
    <w:rPr>
      <w:rFonts w:ascii="Calibri" w:hAnsi="Calibri"/>
      <w:szCs w:val="20"/>
    </w:rPr>
  </w:style>
  <w:style w:type="paragraph" w:styleId="18">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unhideWhenUsed/>
    <w:qFormat/>
    <w:uiPriority w:val="99"/>
    <w:rPr>
      <w:color w:val="800080"/>
      <w:u w:val="single"/>
    </w:rPr>
  </w:style>
  <w:style w:type="character" w:styleId="26">
    <w:name w:val="Emphasis"/>
    <w:basedOn w:val="22"/>
    <w:qFormat/>
    <w:uiPriority w:val="0"/>
  </w:style>
  <w:style w:type="character" w:styleId="27">
    <w:name w:val="HTML Definition"/>
    <w:basedOn w:val="22"/>
    <w:qFormat/>
    <w:uiPriority w:val="0"/>
  </w:style>
  <w:style w:type="character" w:styleId="28">
    <w:name w:val="HTML Acronym"/>
    <w:basedOn w:val="22"/>
    <w:qFormat/>
    <w:uiPriority w:val="0"/>
  </w:style>
  <w:style w:type="character" w:styleId="29">
    <w:name w:val="HTML Variable"/>
    <w:basedOn w:val="22"/>
    <w:qFormat/>
    <w:uiPriority w:val="0"/>
  </w:style>
  <w:style w:type="character" w:styleId="30">
    <w:name w:val="Hyperlink"/>
    <w:unhideWhenUsed/>
    <w:qFormat/>
    <w:uiPriority w:val="99"/>
    <w:rPr>
      <w:color w:val="0000FF"/>
      <w:u w:val="single"/>
    </w:rPr>
  </w:style>
  <w:style w:type="character" w:styleId="31">
    <w:name w:val="HTML Code"/>
    <w:basedOn w:val="22"/>
    <w:qFormat/>
    <w:uiPriority w:val="0"/>
    <w:rPr>
      <w:rFonts w:hint="eastAsia" w:ascii="微软雅黑" w:hAnsi="微软雅黑" w:eastAsia="微软雅黑" w:cs="微软雅黑"/>
      <w:color w:val="333333"/>
      <w:sz w:val="16"/>
      <w:szCs w:val="16"/>
    </w:rPr>
  </w:style>
  <w:style w:type="character" w:styleId="32">
    <w:name w:val="annotation reference"/>
    <w:basedOn w:val="22"/>
    <w:qFormat/>
    <w:uiPriority w:val="0"/>
    <w:rPr>
      <w:sz w:val="21"/>
      <w:szCs w:val="21"/>
    </w:rPr>
  </w:style>
  <w:style w:type="character" w:styleId="33">
    <w:name w:val="HTML Cite"/>
    <w:basedOn w:val="22"/>
    <w:qFormat/>
    <w:uiPriority w:val="0"/>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章标题"/>
    <w:basedOn w:val="1"/>
    <w:qFormat/>
    <w:uiPriority w:val="0"/>
    <w:pPr>
      <w:ind w:firstLine="602"/>
      <w:jc w:val="center"/>
    </w:pPr>
    <w:rPr>
      <w:rFonts w:hint="eastAsia" w:ascii="仿宋_GB2312" w:hAnsi="仿宋_GB2312" w:eastAsia="方正小标宋_GBK" w:cs="仿宋_GB2312"/>
      <w:sz w:val="36"/>
      <w:szCs w:val="32"/>
    </w:rPr>
  </w:style>
  <w:style w:type="paragraph" w:customStyle="1" w:styleId="37">
    <w:name w:val="节标题"/>
    <w:basedOn w:val="1"/>
    <w:qFormat/>
    <w:uiPriority w:val="0"/>
    <w:pPr>
      <w:ind w:firstLine="602"/>
      <w:jc w:val="center"/>
    </w:pPr>
    <w:rPr>
      <w:rFonts w:hint="eastAsia" w:ascii="仿宋_GB2312" w:hAnsi="仿宋_GB2312" w:eastAsia="黑体" w:cs="仿宋_GB2312"/>
      <w:szCs w:val="32"/>
    </w:rPr>
  </w:style>
  <w:style w:type="paragraph" w:customStyle="1" w:styleId="38">
    <w:name w:val="条目标题"/>
    <w:basedOn w:val="1"/>
    <w:qFormat/>
    <w:uiPriority w:val="0"/>
    <w:pPr>
      <w:ind w:firstLine="602"/>
    </w:pPr>
    <w:rPr>
      <w:rFonts w:hint="eastAsia" w:ascii="仿宋_GB2312" w:hAnsi="仿宋_GB2312" w:eastAsia="楷体_GB2312" w:cs="仿宋_GB2312"/>
      <w:szCs w:val="32"/>
    </w:rPr>
  </w:style>
  <w:style w:type="character" w:customStyle="1" w:styleId="39">
    <w:name w:val="标题 1 字符"/>
    <w:link w:val="3"/>
    <w:qFormat/>
    <w:uiPriority w:val="99"/>
    <w:rPr>
      <w:rFonts w:ascii="Calibri" w:hAnsi="Calibri" w:eastAsia="方正小标宋_GBK"/>
      <w:bCs/>
      <w:kern w:val="44"/>
      <w:sz w:val="36"/>
      <w:szCs w:val="44"/>
    </w:rPr>
  </w:style>
  <w:style w:type="character" w:customStyle="1" w:styleId="40">
    <w:name w:val="标题 3 字符"/>
    <w:link w:val="5"/>
    <w:qFormat/>
    <w:uiPriority w:val="9"/>
    <w:rPr>
      <w:rFonts w:ascii="Calibri" w:hAnsi="Calibri" w:eastAsia="楷体_GB2312"/>
      <w:bCs/>
      <w:kern w:val="2"/>
      <w:sz w:val="32"/>
      <w:szCs w:val="32"/>
    </w:rPr>
  </w:style>
  <w:style w:type="paragraph" w:customStyle="1" w:styleId="41">
    <w:name w:val="Default"/>
    <w:next w:val="42"/>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42">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43">
    <w:name w:val="正文文本 字符"/>
    <w:basedOn w:val="22"/>
    <w:link w:val="2"/>
    <w:qFormat/>
    <w:uiPriority w:val="99"/>
    <w:rPr>
      <w:rFonts w:eastAsia="仿宋_GB2312"/>
      <w:kern w:val="2"/>
      <w:sz w:val="30"/>
      <w:szCs w:val="24"/>
    </w:rPr>
  </w:style>
  <w:style w:type="character" w:customStyle="1" w:styleId="44">
    <w:name w:val="标题 2 字符"/>
    <w:link w:val="4"/>
    <w:qFormat/>
    <w:uiPriority w:val="99"/>
    <w:rPr>
      <w:rFonts w:ascii="Cambria" w:hAnsi="Cambria" w:eastAsia="黑体"/>
      <w:bCs/>
      <w:kern w:val="2"/>
      <w:sz w:val="32"/>
      <w:szCs w:val="32"/>
    </w:rPr>
  </w:style>
  <w:style w:type="character" w:customStyle="1" w:styleId="45">
    <w:name w:val="标题 4 字符"/>
    <w:link w:val="6"/>
    <w:qFormat/>
    <w:uiPriority w:val="9"/>
    <w:rPr>
      <w:rFonts w:ascii="Cambria" w:hAnsi="Cambria"/>
      <w:b/>
      <w:bCs/>
      <w:kern w:val="2"/>
      <w:sz w:val="28"/>
      <w:szCs w:val="28"/>
    </w:rPr>
  </w:style>
  <w:style w:type="character" w:customStyle="1" w:styleId="46">
    <w:name w:val="批注文字 字符"/>
    <w:basedOn w:val="22"/>
    <w:link w:val="8"/>
    <w:qFormat/>
    <w:uiPriority w:val="0"/>
    <w:rPr>
      <w:kern w:val="2"/>
      <w:sz w:val="21"/>
      <w:szCs w:val="24"/>
    </w:rPr>
  </w:style>
  <w:style w:type="character" w:customStyle="1" w:styleId="47">
    <w:name w:val="正文文本缩进 字符"/>
    <w:link w:val="12"/>
    <w:qFormat/>
    <w:uiPriority w:val="99"/>
    <w:rPr>
      <w:szCs w:val="24"/>
    </w:rPr>
  </w:style>
  <w:style w:type="character" w:customStyle="1" w:styleId="48">
    <w:name w:val="日期 字符"/>
    <w:link w:val="14"/>
    <w:qFormat/>
    <w:uiPriority w:val="99"/>
    <w:rPr>
      <w:rFonts w:ascii="Calibri" w:hAnsi="Calibri"/>
      <w:szCs w:val="24"/>
    </w:rPr>
  </w:style>
  <w:style w:type="character" w:customStyle="1" w:styleId="49">
    <w:name w:val="批注框文本 字符"/>
    <w:link w:val="15"/>
    <w:qFormat/>
    <w:uiPriority w:val="99"/>
    <w:rPr>
      <w:sz w:val="18"/>
      <w:szCs w:val="18"/>
    </w:rPr>
  </w:style>
  <w:style w:type="character" w:customStyle="1" w:styleId="50">
    <w:name w:val="页脚 字符"/>
    <w:link w:val="16"/>
    <w:qFormat/>
    <w:uiPriority w:val="99"/>
    <w:rPr>
      <w:kern w:val="2"/>
      <w:sz w:val="18"/>
      <w:szCs w:val="18"/>
    </w:rPr>
  </w:style>
  <w:style w:type="character" w:customStyle="1" w:styleId="51">
    <w:name w:val="页眉 字符"/>
    <w:link w:val="18"/>
    <w:qFormat/>
    <w:uiPriority w:val="99"/>
    <w:rPr>
      <w:kern w:val="2"/>
      <w:sz w:val="18"/>
      <w:szCs w:val="18"/>
    </w:rPr>
  </w:style>
  <w:style w:type="character" w:customStyle="1" w:styleId="52">
    <w:name w:val="批注主题 字符"/>
    <w:basedOn w:val="46"/>
    <w:link w:val="7"/>
    <w:qFormat/>
    <w:uiPriority w:val="99"/>
    <w:rPr>
      <w:rFonts w:asciiTheme="minorHAnsi" w:hAnsiTheme="minorHAnsi" w:eastAsiaTheme="minorEastAsia" w:cstheme="minorBidi"/>
      <w:b/>
      <w:bCs/>
      <w:kern w:val="2"/>
      <w:sz w:val="21"/>
      <w:szCs w:val="22"/>
    </w:rPr>
  </w:style>
  <w:style w:type="character" w:customStyle="1" w:styleId="53">
    <w:name w:val="正文首行缩进 2 字符"/>
    <w:link w:val="17"/>
    <w:qFormat/>
    <w:uiPriority w:val="99"/>
    <w:rPr>
      <w:rFonts w:ascii="Calibri" w:hAnsi="Calibri"/>
    </w:rPr>
  </w:style>
  <w:style w:type="paragraph" w:customStyle="1" w:styleId="54">
    <w:name w:val="Char Char Char"/>
    <w:basedOn w:val="1"/>
    <w:qFormat/>
    <w:uiPriority w:val="0"/>
    <w:pPr>
      <w:widowControl/>
      <w:spacing w:after="160" w:line="240" w:lineRule="exact"/>
      <w:jc w:val="left"/>
    </w:pPr>
  </w:style>
  <w:style w:type="paragraph" w:customStyle="1" w:styleId="55">
    <w:name w:val="_Style 15"/>
    <w:basedOn w:val="1"/>
    <w:qFormat/>
    <w:uiPriority w:val="0"/>
    <w:rPr>
      <w:rFonts w:ascii="Tahoma" w:hAnsi="Tahoma"/>
      <w:szCs w:val="20"/>
    </w:rPr>
  </w:style>
  <w:style w:type="character" w:customStyle="1" w:styleId="56">
    <w:name w:val="批注框文本 Char1"/>
    <w:semiHidden/>
    <w:qFormat/>
    <w:uiPriority w:val="99"/>
    <w:rPr>
      <w:kern w:val="2"/>
      <w:sz w:val="18"/>
      <w:szCs w:val="18"/>
    </w:rPr>
  </w:style>
  <w:style w:type="character" w:customStyle="1" w:styleId="57">
    <w:name w:val="NormalCharacter"/>
    <w:qFormat/>
    <w:uiPriority w:val="0"/>
  </w:style>
  <w:style w:type="character" w:customStyle="1" w:styleId="58">
    <w:name w:val="正文文本缩进 Char1"/>
    <w:semiHidden/>
    <w:qFormat/>
    <w:uiPriority w:val="99"/>
    <w:rPr>
      <w:kern w:val="2"/>
      <w:sz w:val="21"/>
      <w:szCs w:val="24"/>
    </w:rPr>
  </w:style>
  <w:style w:type="character" w:customStyle="1" w:styleId="59">
    <w:name w:val="16"/>
    <w:qFormat/>
    <w:uiPriority w:val="0"/>
    <w:rPr>
      <w:rFonts w:hint="eastAsia" w:ascii="方正小标宋简体" w:eastAsia="方正小标宋简体"/>
    </w:rPr>
  </w:style>
  <w:style w:type="character" w:customStyle="1" w:styleId="60">
    <w:name w:val="页脚 Char1"/>
    <w:semiHidden/>
    <w:qFormat/>
    <w:uiPriority w:val="99"/>
    <w:rPr>
      <w:kern w:val="2"/>
      <w:sz w:val="18"/>
      <w:szCs w:val="18"/>
    </w:rPr>
  </w:style>
  <w:style w:type="character" w:customStyle="1" w:styleId="61">
    <w:name w:val="正文首行缩进 2 Char1"/>
    <w:semiHidden/>
    <w:qFormat/>
    <w:uiPriority w:val="99"/>
  </w:style>
  <w:style w:type="character" w:customStyle="1" w:styleId="62">
    <w:name w:val="日期 Char1"/>
    <w:semiHidden/>
    <w:qFormat/>
    <w:uiPriority w:val="99"/>
    <w:rPr>
      <w:kern w:val="2"/>
      <w:sz w:val="21"/>
      <w:szCs w:val="24"/>
    </w:rPr>
  </w:style>
  <w:style w:type="character" w:customStyle="1" w:styleId="63">
    <w:name w:val="日期 Char2"/>
    <w:qFormat/>
    <w:uiPriority w:val="0"/>
    <w:rPr>
      <w:kern w:val="2"/>
      <w:sz w:val="21"/>
      <w:szCs w:val="24"/>
    </w:rPr>
  </w:style>
  <w:style w:type="character" w:customStyle="1" w:styleId="64">
    <w:name w:val="正文文本缩进 Char2"/>
    <w:qFormat/>
    <w:uiPriority w:val="0"/>
    <w:rPr>
      <w:kern w:val="2"/>
      <w:sz w:val="21"/>
      <w:szCs w:val="24"/>
    </w:rPr>
  </w:style>
  <w:style w:type="paragraph" w:customStyle="1" w:styleId="65">
    <w:name w:val="文件格式"/>
    <w:qFormat/>
    <w:uiPriority w:val="0"/>
    <w:pPr>
      <w:spacing w:line="460" w:lineRule="atLeast"/>
      <w:ind w:left="1" w:firstLine="419"/>
      <w:jc w:val="both"/>
    </w:pPr>
    <w:rPr>
      <w:rFonts w:ascii="Calibri" w:hAnsi="Calibri" w:eastAsia="仿宋_GB2312" w:cs="Times New Roman"/>
      <w:sz w:val="32"/>
      <w:szCs w:val="32"/>
      <w:lang w:val="en-US" w:eastAsia="zh-CN" w:bidi="ar-SA"/>
    </w:rPr>
  </w:style>
  <w:style w:type="paragraph" w:customStyle="1" w:styleId="66">
    <w:name w:val="附录表标题"/>
    <w:next w:val="1"/>
    <w:qFormat/>
    <w:uiPriority w:val="0"/>
    <w:pPr>
      <w:numPr>
        <w:ilvl w:val="0"/>
        <w:numId w:val="1"/>
      </w:numPr>
      <w:jc w:val="center"/>
    </w:pPr>
    <w:rPr>
      <w:rFonts w:ascii="黑体" w:hAnsi="Calibri" w:eastAsia="黑体" w:cs="Times New Roman"/>
      <w:kern w:val="21"/>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Char Char Char1"/>
    <w:basedOn w:val="1"/>
    <w:qFormat/>
    <w:uiPriority w:val="0"/>
    <w:pPr>
      <w:widowControl/>
      <w:spacing w:after="160" w:line="240" w:lineRule="exact"/>
      <w:jc w:val="left"/>
    </w:pPr>
  </w:style>
  <w:style w:type="paragraph" w:customStyle="1" w:styleId="69">
    <w:name w:val="表格文字"/>
    <w:basedOn w:val="1"/>
    <w:qFormat/>
    <w:uiPriority w:val="0"/>
    <w:pPr>
      <w:jc w:val="center"/>
    </w:pPr>
    <w:rPr>
      <w:rFonts w:ascii="Calibri" w:hAnsi="Calibri"/>
    </w:rPr>
  </w:style>
  <w:style w:type="character" w:customStyle="1" w:styleId="70">
    <w:name w:val="批注框文本 Char2"/>
    <w:qFormat/>
    <w:uiPriority w:val="0"/>
    <w:rPr>
      <w:kern w:val="2"/>
      <w:sz w:val="18"/>
      <w:szCs w:val="18"/>
    </w:rPr>
  </w:style>
  <w:style w:type="paragraph" w:customStyle="1" w:styleId="71">
    <w:name w:val="List Paragraph"/>
    <w:basedOn w:val="1"/>
    <w:link w:val="72"/>
    <w:qFormat/>
    <w:uiPriority w:val="99"/>
    <w:pPr>
      <w:ind w:firstLine="420"/>
    </w:pPr>
    <w:rPr>
      <w:rFonts w:ascii="Calibri" w:hAnsi="Calibri"/>
      <w:szCs w:val="22"/>
    </w:rPr>
  </w:style>
  <w:style w:type="character" w:customStyle="1" w:styleId="72">
    <w:name w:val="列出段落 字符"/>
    <w:link w:val="71"/>
    <w:qFormat/>
    <w:uiPriority w:val="99"/>
    <w:rPr>
      <w:rFonts w:ascii="Calibri" w:hAnsi="Calibri"/>
      <w:kern w:val="2"/>
      <w:sz w:val="21"/>
      <w:szCs w:val="22"/>
    </w:rPr>
  </w:style>
  <w:style w:type="paragraph" w:customStyle="1" w:styleId="73">
    <w:name w:val="正文1"/>
    <w:basedOn w:val="1"/>
    <w:qFormat/>
    <w:uiPriority w:val="0"/>
    <w:pPr>
      <w:widowControl/>
    </w:pPr>
    <w:rPr>
      <w:rFonts w:ascii="Calibri" w:hAnsi="Calibri"/>
      <w:szCs w:val="21"/>
    </w:rPr>
  </w:style>
  <w:style w:type="character" w:customStyle="1" w:styleId="74">
    <w:name w:val="正文首行缩进 2 Char2"/>
    <w:basedOn w:val="64"/>
    <w:qFormat/>
    <w:uiPriority w:val="0"/>
    <w:rPr>
      <w:kern w:val="2"/>
      <w:sz w:val="21"/>
      <w:szCs w:val="24"/>
    </w:rPr>
  </w:style>
  <w:style w:type="paragraph" w:customStyle="1" w:styleId="75">
    <w:name w:val="WPSOffice手动目录 1"/>
    <w:qFormat/>
    <w:uiPriority w:val="0"/>
    <w:rPr>
      <w:rFonts w:ascii="Times New Roman" w:hAnsi="Times New Roman" w:eastAsia="宋体" w:cs="Times New Roman"/>
      <w:lang w:val="en-US" w:eastAsia="zh-CN" w:bidi="ar-SA"/>
    </w:rPr>
  </w:style>
  <w:style w:type="paragraph" w:customStyle="1" w:styleId="76">
    <w:name w:val="正文2"/>
    <w:qFormat/>
    <w:uiPriority w:val="0"/>
    <w:pPr>
      <w:jc w:val="both"/>
    </w:pPr>
    <w:rPr>
      <w:rFonts w:ascii="等线" w:hAnsi="等线" w:eastAsia="宋体" w:cs="宋体"/>
      <w:kern w:val="2"/>
      <w:sz w:val="21"/>
      <w:szCs w:val="21"/>
      <w:lang w:val="en-US" w:eastAsia="zh-CN" w:bidi="ar-SA"/>
    </w:rPr>
  </w:style>
  <w:style w:type="paragraph" w:customStyle="1" w:styleId="77">
    <w:name w:val="列表段落1"/>
    <w:basedOn w:val="1"/>
    <w:qFormat/>
    <w:uiPriority w:val="0"/>
    <w:pPr>
      <w:ind w:firstLine="420"/>
    </w:pPr>
    <w:rPr>
      <w:rFonts w:ascii="Calibri" w:hAnsi="Calibri"/>
      <w:szCs w:val="21"/>
    </w:rPr>
  </w:style>
  <w:style w:type="paragraph" w:customStyle="1" w:styleId="78">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9">
    <w:name w:val="hj-easyread-speakerprocesser-position-action-icon"/>
    <w:basedOn w:val="22"/>
    <w:qFormat/>
    <w:uiPriority w:val="0"/>
  </w:style>
  <w:style w:type="paragraph" w:customStyle="1" w:styleId="80">
    <w:name w:val="font5"/>
    <w:basedOn w:val="1"/>
    <w:qFormat/>
    <w:uiPriority w:val="0"/>
    <w:pPr>
      <w:widowControl/>
      <w:spacing w:before="100" w:beforeAutospacing="1" w:after="100" w:afterAutospacing="1"/>
      <w:ind w:firstLine="0" w:firstLineChars="0"/>
      <w:jc w:val="left"/>
    </w:pPr>
    <w:rPr>
      <w:rFonts w:ascii="仿宋" w:hAnsi="仿宋" w:eastAsia="仿宋" w:cs="宋体"/>
      <w:color w:val="000000"/>
      <w:kern w:val="0"/>
      <w:sz w:val="21"/>
      <w:szCs w:val="21"/>
    </w:rPr>
  </w:style>
  <w:style w:type="paragraph" w:customStyle="1" w:styleId="81">
    <w:name w:val="font6"/>
    <w:basedOn w:val="1"/>
    <w:qFormat/>
    <w:uiPriority w:val="0"/>
    <w:pPr>
      <w:widowControl/>
      <w:spacing w:before="100" w:beforeAutospacing="1" w:after="100" w:afterAutospacing="1"/>
      <w:ind w:firstLine="0" w:firstLineChars="0"/>
      <w:jc w:val="left"/>
    </w:pPr>
    <w:rPr>
      <w:rFonts w:eastAsia="宋体"/>
      <w:color w:val="000000"/>
      <w:kern w:val="0"/>
      <w:sz w:val="21"/>
      <w:szCs w:val="21"/>
    </w:rPr>
  </w:style>
  <w:style w:type="paragraph" w:customStyle="1" w:styleId="8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ind w:firstLine="0" w:firstLineChars="0"/>
      <w:jc w:val="center"/>
      <w:textAlignment w:val="center"/>
    </w:pPr>
    <w:rPr>
      <w:rFonts w:ascii="仿宋" w:hAnsi="仿宋" w:eastAsia="仿宋" w:cs="宋体"/>
      <w:kern w:val="0"/>
      <w:sz w:val="21"/>
      <w:szCs w:val="21"/>
    </w:rPr>
  </w:style>
  <w:style w:type="paragraph" w:customStyle="1" w:styleId="8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ind w:firstLine="0" w:firstLineChars="0"/>
      <w:jc w:val="left"/>
      <w:textAlignment w:val="center"/>
    </w:pPr>
    <w:rPr>
      <w:rFonts w:ascii="仿宋" w:hAnsi="仿宋" w:eastAsia="仿宋" w:cs="宋体"/>
      <w:kern w:val="0"/>
      <w:sz w:val="21"/>
      <w:szCs w:val="21"/>
    </w:rPr>
  </w:style>
  <w:style w:type="paragraph" w:customStyle="1" w:styleId="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eastAsia="宋体"/>
      <w:color w:val="000000"/>
      <w:kern w:val="0"/>
      <w:sz w:val="21"/>
      <w:szCs w:val="21"/>
    </w:rPr>
  </w:style>
  <w:style w:type="paragraph" w:customStyle="1" w:styleId="8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 w:hAnsi="仿宋" w:eastAsia="仿宋" w:cs="宋体"/>
      <w:kern w:val="0"/>
      <w:sz w:val="21"/>
      <w:szCs w:val="21"/>
    </w:rPr>
  </w:style>
  <w:style w:type="paragraph" w:customStyle="1" w:styleId="8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_GB2312" w:hAnsi="宋体" w:cs="宋体"/>
      <w:color w:val="000000"/>
      <w:kern w:val="0"/>
      <w:sz w:val="21"/>
      <w:szCs w:val="21"/>
    </w:rPr>
  </w:style>
  <w:style w:type="paragraph" w:customStyle="1" w:styleId="8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eastAsia="宋体"/>
      <w:kern w:val="0"/>
      <w:sz w:val="21"/>
      <w:szCs w:val="21"/>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 w:hAnsi="仿宋" w:eastAsia="仿宋" w:cs="宋体"/>
      <w:color w:val="000000"/>
      <w:kern w:val="0"/>
      <w:sz w:val="21"/>
      <w:szCs w:val="21"/>
    </w:rPr>
  </w:style>
  <w:style w:type="paragraph" w:customStyle="1" w:styleId="8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ind w:firstLine="0" w:firstLineChars="0"/>
      <w:jc w:val="left"/>
      <w:textAlignment w:val="center"/>
    </w:pPr>
    <w:rPr>
      <w:rFonts w:ascii="仿宋" w:hAnsi="仿宋" w:eastAsia="仿宋" w:cs="宋体"/>
      <w:b/>
      <w:bCs/>
      <w:kern w:val="0"/>
      <w:sz w:val="21"/>
      <w:szCs w:val="21"/>
    </w:rPr>
  </w:style>
  <w:style w:type="paragraph" w:customStyle="1" w:styleId="90">
    <w:name w:val="样式 0正文 + 首行缩进:  2 字符1"/>
    <w:basedOn w:val="1"/>
    <w:next w:val="21"/>
    <w:qFormat/>
    <w:uiPriority w:val="0"/>
    <w:pPr>
      <w:spacing w:line="360" w:lineRule="auto"/>
    </w:pPr>
    <w:rPr>
      <w:rFonts w:eastAsia="宋体"/>
      <w:sz w:val="28"/>
      <w:szCs w:val="28"/>
    </w:rPr>
  </w:style>
  <w:style w:type="paragraph" w:customStyle="1" w:styleId="91">
    <w:name w:val="msonormal"/>
    <w:basedOn w:val="1"/>
    <w:qFormat/>
    <w:uiPriority w:val="0"/>
    <w:pPr>
      <w:widowControl/>
      <w:spacing w:before="100" w:beforeAutospacing="1" w:after="100" w:afterAutospacing="1"/>
      <w:ind w:firstLine="0" w:firstLineChars="0"/>
      <w:jc w:val="left"/>
    </w:pPr>
    <w:rPr>
      <w:rFonts w:ascii="宋体" w:hAnsi="宋体" w:eastAsia="宋体" w:cs="宋体"/>
      <w:kern w:val="0"/>
      <w:sz w:val="24"/>
    </w:rPr>
  </w:style>
  <w:style w:type="paragraph" w:customStyle="1" w:styleId="92">
    <w:name w:val="cjk"/>
    <w:basedOn w:val="1"/>
    <w:qFormat/>
    <w:uiPriority w:val="0"/>
    <w:pPr>
      <w:widowControl/>
      <w:spacing w:before="100" w:beforeAutospacing="1" w:after="100" w:afterAutospacing="1"/>
      <w:ind w:firstLine="0" w:firstLineChars="0"/>
      <w:jc w:val="left"/>
    </w:pPr>
    <w:rPr>
      <w:rFonts w:ascii="宋体" w:hAnsi="宋体" w:eastAsia="宋体" w:cs="宋体"/>
      <w:kern w:val="0"/>
      <w:sz w:val="24"/>
    </w:rPr>
  </w:style>
  <w:style w:type="paragraph" w:customStyle="1" w:styleId="9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华文细黑" w:cs="Cambria"/>
      <w:kern w:val="2"/>
      <w:sz w:val="21"/>
      <w:szCs w:val="24"/>
      <w:lang w:val="en-US" w:eastAsia="zh-CN" w:bidi="ar-SA"/>
    </w:rPr>
  </w:style>
  <w:style w:type="character" w:customStyle="1" w:styleId="94">
    <w:name w:val="fontstyle01"/>
    <w:basedOn w:val="22"/>
    <w:qFormat/>
    <w:uiPriority w:val="0"/>
    <w:rPr>
      <w:rFonts w:hint="eastAsia" w:ascii="仿宋_GB2312" w:eastAsia="仿宋_GB2312"/>
      <w:color w:val="000000"/>
      <w:sz w:val="28"/>
      <w:szCs w:val="28"/>
    </w:rPr>
  </w:style>
  <w:style w:type="paragraph" w:customStyle="1" w:styleId="95">
    <w:name w:val="修订1"/>
    <w:hidden/>
    <w:semiHidden/>
    <w:qFormat/>
    <w:uiPriority w:val="99"/>
    <w:rPr>
      <w:rFonts w:ascii="Times New Roman" w:hAnsi="Times New Roman" w:eastAsia="仿宋_GB2312" w:cs="Times New Roman"/>
      <w:kern w:val="2"/>
      <w:sz w:val="30"/>
      <w:szCs w:val="24"/>
      <w:lang w:val="en-US" w:eastAsia="zh-CN" w:bidi="ar-SA"/>
    </w:rPr>
  </w:style>
  <w:style w:type="character" w:customStyle="1" w:styleId="96">
    <w:name w:val="font21"/>
    <w:basedOn w:val="22"/>
    <w:qFormat/>
    <w:uiPriority w:val="0"/>
    <w:rPr>
      <w:rFonts w:hint="eastAsia" w:ascii="仿宋" w:hAnsi="仿宋" w:eastAsia="仿宋" w:cs="仿宋"/>
      <w:color w:val="000000"/>
      <w:sz w:val="21"/>
      <w:szCs w:val="21"/>
      <w:u w:val="none"/>
    </w:rPr>
  </w:style>
  <w:style w:type="character" w:customStyle="1" w:styleId="97">
    <w:name w:val="font81"/>
    <w:basedOn w:val="22"/>
    <w:qFormat/>
    <w:uiPriority w:val="0"/>
    <w:rPr>
      <w:rFonts w:hint="default" w:ascii="Times New Roman" w:hAnsi="Times New Roman" w:cs="Times New Roman"/>
      <w:color w:val="000000"/>
      <w:sz w:val="21"/>
      <w:szCs w:val="21"/>
      <w:u w:val="none"/>
    </w:rPr>
  </w:style>
  <w:style w:type="character" w:customStyle="1" w:styleId="98">
    <w:name w:val="font71"/>
    <w:basedOn w:val="22"/>
    <w:qFormat/>
    <w:uiPriority w:val="0"/>
    <w:rPr>
      <w:rFonts w:hint="eastAsia" w:ascii="仿宋" w:hAnsi="仿宋" w:eastAsia="仿宋" w:cs="仿宋"/>
      <w:color w:val="000000"/>
      <w:sz w:val="21"/>
      <w:szCs w:val="21"/>
      <w:u w:val="none"/>
    </w:rPr>
  </w:style>
  <w:style w:type="character" w:customStyle="1" w:styleId="99">
    <w:name w:val="正文缩进 字符"/>
    <w:link w:val="10"/>
    <w:qFormat/>
    <w:uiPriority w:val="0"/>
    <w:rPr>
      <w:rFonts w:ascii="Calibri" w:hAnsi="Calibri"/>
    </w:rPr>
  </w:style>
  <w:style w:type="character" w:customStyle="1" w:styleId="100">
    <w:name w:val="题注 字符"/>
    <w:link w:val="11"/>
    <w:qFormat/>
    <w:uiPriority w:val="35"/>
    <w:rPr>
      <w:rFonts w:ascii="Calibri Light" w:hAnsi="Calibri Light" w:eastAsia="黑体" w:cs="宋体"/>
      <w:b/>
      <w:sz w:val="24"/>
      <w:szCs w:val="20"/>
    </w:rPr>
  </w:style>
  <w:style w:type="paragraph" w:customStyle="1" w:styleId="101">
    <w:name w:val="修订2"/>
    <w:hidden/>
    <w:semiHidden/>
    <w:qFormat/>
    <w:uiPriority w:val="99"/>
    <w:rPr>
      <w:rFonts w:ascii="Times New Roman" w:hAnsi="Times New Roman" w:eastAsia="仿宋_GB2312" w:cs="Times New Roman"/>
      <w:kern w:val="2"/>
      <w:sz w:val="30"/>
      <w:szCs w:val="24"/>
      <w:lang w:val="en-US" w:eastAsia="zh-CN" w:bidi="ar-SA"/>
    </w:rPr>
  </w:style>
  <w:style w:type="paragraph" w:customStyle="1" w:styleId="102">
    <w:name w:val="国空2级标题"/>
    <w:basedOn w:val="5"/>
    <w:qFormat/>
    <w:uiPriority w:val="0"/>
    <w:pPr>
      <w:numPr>
        <w:ilvl w:val="0"/>
        <w:numId w:val="2"/>
      </w:numPr>
      <w:tabs>
        <w:tab w:val="left" w:pos="0"/>
      </w:tabs>
      <w:ind w:firstLine="1285"/>
    </w:pPr>
  </w:style>
  <w:style w:type="paragraph" w:customStyle="1" w:styleId="103">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http://bbs.mscode.cc</Company>
  <Pages>151</Pages>
  <Words>11106</Words>
  <Characters>63309</Characters>
  <Lines>527</Lines>
  <Paragraphs>148</Paragraphs>
  <TotalTime>5</TotalTime>
  <ScaleCrop>false</ScaleCrop>
  <LinksUpToDate>false</LinksUpToDate>
  <CharactersWithSpaces>74267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2025-12-30T20:00:00Z</dcterms:created>
  <dc:creator>韦贵兰</dc:creator>
  <cp:lastModifiedBy>Administrator</cp:lastModifiedBy>
  <cp:lastPrinted>2024-03-18T15:47:00Z</cp:lastPrinted>
  <dcterms:modified xsi:type="dcterms:W3CDTF">2026-04-16T06:58:01Z</dcterms:modified>
  <dc:title>桂国土资办[2008]417号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17BE1A5A776041F49118B07526CE29BB_13</vt:lpwstr>
  </property>
</Properties>
</file>